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A4E" w:rsidRPr="003A0556" w:rsidRDefault="00BC6A4E" w:rsidP="00BC6A4E">
      <w:pPr>
        <w:spacing w:line="360" w:lineRule="auto"/>
        <w:jc w:val="center"/>
        <w:rPr>
          <w:rFonts w:ascii="Times New Roman" w:hAnsi="Times New Roman" w:cs="Times New Roman"/>
          <w:b/>
          <w:i/>
          <w:sz w:val="44"/>
          <w:szCs w:val="44"/>
        </w:rPr>
      </w:pPr>
      <w:r w:rsidRPr="003A0556">
        <w:rPr>
          <w:rFonts w:ascii="Times New Roman" w:hAnsi="Times New Roman" w:cs="Times New Roman"/>
          <w:b/>
          <w:i/>
          <w:sz w:val="44"/>
          <w:szCs w:val="44"/>
        </w:rPr>
        <w:t>Universidad Regional Autónoma de los Andes</w:t>
      </w:r>
    </w:p>
    <w:p w:rsidR="00BC6A4E" w:rsidRPr="003A0556" w:rsidRDefault="00BC6A4E" w:rsidP="00BC6A4E">
      <w:pPr>
        <w:spacing w:line="360" w:lineRule="auto"/>
        <w:jc w:val="center"/>
        <w:rPr>
          <w:rFonts w:ascii="Times New Roman" w:hAnsi="Times New Roman" w:cs="Times New Roman"/>
          <w:b/>
          <w:i/>
          <w:sz w:val="44"/>
          <w:szCs w:val="44"/>
        </w:rPr>
      </w:pPr>
      <w:r w:rsidRPr="003A0556">
        <w:rPr>
          <w:rFonts w:ascii="Times New Roman" w:hAnsi="Times New Roman" w:cs="Times New Roman"/>
          <w:b/>
          <w:i/>
          <w:sz w:val="44"/>
          <w:szCs w:val="44"/>
        </w:rPr>
        <w:t>“UNIANDES”</w:t>
      </w:r>
    </w:p>
    <w:p w:rsidR="00BC6A4E" w:rsidRDefault="00BC6A4E" w:rsidP="00BC6A4E">
      <w:pPr>
        <w:spacing w:line="360" w:lineRule="auto"/>
        <w:jc w:val="center"/>
        <w:rPr>
          <w:rFonts w:ascii="Times New Roman" w:hAnsi="Times New Roman" w:cs="Times New Roman"/>
          <w:sz w:val="44"/>
          <w:szCs w:val="44"/>
        </w:rPr>
      </w:pPr>
      <w:r w:rsidRPr="003A0556">
        <w:rPr>
          <w:rFonts w:ascii="Times New Roman" w:hAnsi="Times New Roman" w:cs="Times New Roman"/>
          <w:noProof/>
          <w:sz w:val="44"/>
          <w:szCs w:val="44"/>
          <w:lang w:eastAsia="es-ES"/>
        </w:rPr>
        <w:drawing>
          <wp:inline distT="0" distB="0" distL="0" distR="0" wp14:anchorId="0BD3DBF3" wp14:editId="59A9A961">
            <wp:extent cx="1333500" cy="1257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257300"/>
                    </a:xfrm>
                    <a:prstGeom prst="rect">
                      <a:avLst/>
                    </a:prstGeom>
                    <a:noFill/>
                    <a:ln>
                      <a:noFill/>
                    </a:ln>
                  </pic:spPr>
                </pic:pic>
              </a:graphicData>
            </a:graphic>
          </wp:inline>
        </w:drawing>
      </w:r>
    </w:p>
    <w:p w:rsidR="00BC6A4E" w:rsidRPr="003A0556" w:rsidRDefault="00BC6A4E" w:rsidP="00BC6A4E">
      <w:pPr>
        <w:spacing w:line="360" w:lineRule="auto"/>
        <w:jc w:val="center"/>
        <w:rPr>
          <w:rFonts w:ascii="Times New Roman" w:hAnsi="Times New Roman" w:cs="Times New Roman"/>
          <w:sz w:val="44"/>
          <w:szCs w:val="44"/>
        </w:rPr>
      </w:pPr>
    </w:p>
    <w:p w:rsidR="00BC6A4E" w:rsidRPr="003A0556" w:rsidRDefault="00900AC1" w:rsidP="00BC6A4E">
      <w:pPr>
        <w:spacing w:line="480" w:lineRule="auto"/>
        <w:jc w:val="center"/>
        <w:rPr>
          <w:rFonts w:ascii="Times New Roman" w:hAnsi="Times New Roman" w:cs="Times New Roman"/>
          <w:b/>
          <w:sz w:val="44"/>
          <w:szCs w:val="44"/>
        </w:rPr>
      </w:pPr>
      <w:r>
        <w:rPr>
          <w:rFonts w:ascii="Times New Roman" w:hAnsi="Times New Roman" w:cs="Times New Roman"/>
          <w:b/>
          <w:sz w:val="44"/>
          <w:szCs w:val="44"/>
        </w:rPr>
        <w:t>Trabajo de Finanzas</w:t>
      </w:r>
      <w:bookmarkStart w:id="0" w:name="_GoBack"/>
      <w:bookmarkEnd w:id="0"/>
    </w:p>
    <w:p w:rsidR="00BC6A4E" w:rsidRPr="003A0556" w:rsidRDefault="00BC6A4E" w:rsidP="00BC6A4E">
      <w:pPr>
        <w:spacing w:line="480" w:lineRule="auto"/>
        <w:jc w:val="center"/>
        <w:rPr>
          <w:rFonts w:ascii="Times New Roman" w:hAnsi="Times New Roman" w:cs="Times New Roman"/>
          <w:b/>
          <w:sz w:val="44"/>
          <w:szCs w:val="44"/>
        </w:rPr>
      </w:pPr>
      <w:r>
        <w:rPr>
          <w:rFonts w:ascii="Times New Roman" w:hAnsi="Times New Roman" w:cs="Times New Roman"/>
          <w:b/>
          <w:sz w:val="44"/>
          <w:szCs w:val="44"/>
        </w:rPr>
        <w:t xml:space="preserve">Tema: </w:t>
      </w:r>
      <w:r w:rsidR="0026282B">
        <w:rPr>
          <w:rFonts w:ascii="Times New Roman" w:hAnsi="Times New Roman" w:cs="Times New Roman"/>
          <w:b/>
          <w:sz w:val="44"/>
          <w:szCs w:val="44"/>
        </w:rPr>
        <w:t xml:space="preserve">Principios de los Estados Financieros </w:t>
      </w:r>
    </w:p>
    <w:p w:rsidR="00BC6A4E" w:rsidRPr="003A0556" w:rsidRDefault="0026282B" w:rsidP="00BC6A4E">
      <w:pPr>
        <w:spacing w:line="480" w:lineRule="auto"/>
        <w:jc w:val="center"/>
        <w:rPr>
          <w:rFonts w:ascii="Times New Roman" w:hAnsi="Times New Roman" w:cs="Times New Roman"/>
          <w:sz w:val="44"/>
          <w:szCs w:val="44"/>
        </w:rPr>
      </w:pPr>
      <w:r>
        <w:rPr>
          <w:rFonts w:ascii="Times New Roman" w:hAnsi="Times New Roman" w:cs="Times New Roman"/>
          <w:sz w:val="44"/>
          <w:szCs w:val="44"/>
        </w:rPr>
        <w:t xml:space="preserve">Ing. Danny Sandoval </w:t>
      </w:r>
    </w:p>
    <w:p w:rsidR="00BC6A4E" w:rsidRPr="003A0556" w:rsidRDefault="00BC6A4E" w:rsidP="00BC6A4E">
      <w:pPr>
        <w:spacing w:line="480" w:lineRule="auto"/>
        <w:jc w:val="center"/>
        <w:rPr>
          <w:rFonts w:ascii="Times New Roman" w:hAnsi="Times New Roman" w:cs="Times New Roman"/>
          <w:sz w:val="44"/>
          <w:szCs w:val="44"/>
        </w:rPr>
      </w:pPr>
      <w:r w:rsidRPr="003A0556">
        <w:rPr>
          <w:rFonts w:ascii="Times New Roman" w:hAnsi="Times New Roman" w:cs="Times New Roman"/>
          <w:sz w:val="44"/>
          <w:szCs w:val="44"/>
        </w:rPr>
        <w:t>Estudiante: Mariela Vizcaíno</w:t>
      </w:r>
    </w:p>
    <w:p w:rsidR="00BC6A4E" w:rsidRPr="003A0556" w:rsidRDefault="00BC6A4E" w:rsidP="00BC6A4E">
      <w:pPr>
        <w:spacing w:line="480" w:lineRule="auto"/>
        <w:jc w:val="center"/>
        <w:rPr>
          <w:rFonts w:ascii="Times New Roman" w:hAnsi="Times New Roman" w:cs="Times New Roman"/>
          <w:sz w:val="44"/>
          <w:szCs w:val="44"/>
        </w:rPr>
      </w:pPr>
      <w:r w:rsidRPr="003A0556">
        <w:rPr>
          <w:rFonts w:ascii="Times New Roman" w:hAnsi="Times New Roman" w:cs="Times New Roman"/>
          <w:sz w:val="44"/>
          <w:szCs w:val="44"/>
        </w:rPr>
        <w:t>5to Contabilidad y Auditoria</w:t>
      </w:r>
    </w:p>
    <w:p w:rsidR="00BC6A4E" w:rsidRPr="003A0556" w:rsidRDefault="00BC6A4E" w:rsidP="00BC6A4E">
      <w:pPr>
        <w:spacing w:line="480" w:lineRule="auto"/>
        <w:jc w:val="center"/>
        <w:rPr>
          <w:rFonts w:ascii="Times New Roman" w:hAnsi="Times New Roman" w:cs="Times New Roman"/>
          <w:sz w:val="44"/>
          <w:szCs w:val="44"/>
        </w:rPr>
      </w:pPr>
    </w:p>
    <w:p w:rsidR="00BC6A4E" w:rsidRPr="0033419A" w:rsidRDefault="00BC6A4E" w:rsidP="00BC6A4E">
      <w:pPr>
        <w:spacing w:line="480" w:lineRule="auto"/>
        <w:jc w:val="center"/>
        <w:rPr>
          <w:rFonts w:ascii="Times New Roman" w:hAnsi="Times New Roman" w:cs="Times New Roman"/>
          <w:sz w:val="44"/>
          <w:szCs w:val="44"/>
        </w:rPr>
      </w:pPr>
      <w:r w:rsidRPr="003A0556">
        <w:rPr>
          <w:rFonts w:ascii="Times New Roman" w:hAnsi="Times New Roman" w:cs="Times New Roman"/>
          <w:sz w:val="44"/>
          <w:szCs w:val="44"/>
        </w:rPr>
        <w:t>2012</w:t>
      </w:r>
    </w:p>
    <w:p w:rsidR="00BC6A4E" w:rsidRPr="00D71F0B" w:rsidRDefault="00BC6A4E" w:rsidP="00BC6A4E">
      <w:pPr>
        <w:spacing w:line="360" w:lineRule="auto"/>
        <w:jc w:val="both"/>
        <w:rPr>
          <w:rFonts w:ascii="Times New Roman" w:hAnsi="Times New Roman" w:cs="Times New Roman"/>
          <w:b/>
          <w:sz w:val="24"/>
          <w:szCs w:val="24"/>
          <w:lang w:val="es-ES_tradnl"/>
        </w:rPr>
      </w:pPr>
      <w:r w:rsidRPr="00D71F0B">
        <w:rPr>
          <w:rFonts w:ascii="Times New Roman" w:hAnsi="Times New Roman" w:cs="Times New Roman"/>
          <w:b/>
          <w:sz w:val="24"/>
          <w:szCs w:val="24"/>
          <w:lang w:val="es-ES_tradnl"/>
        </w:rPr>
        <w:lastRenderedPageBreak/>
        <w:t>OBJETIVOS</w:t>
      </w:r>
    </w:p>
    <w:p w:rsidR="00BC6A4E" w:rsidRPr="00D71F0B" w:rsidRDefault="00BC6A4E" w:rsidP="00BC6A4E">
      <w:pPr>
        <w:spacing w:line="360" w:lineRule="auto"/>
        <w:jc w:val="both"/>
        <w:rPr>
          <w:rFonts w:ascii="Times New Roman" w:hAnsi="Times New Roman" w:cs="Times New Roman"/>
          <w:b/>
          <w:sz w:val="24"/>
          <w:szCs w:val="24"/>
          <w:lang w:val="es-ES_tradnl"/>
        </w:rPr>
      </w:pPr>
      <w:r w:rsidRPr="00D71F0B">
        <w:rPr>
          <w:rFonts w:ascii="Times New Roman" w:hAnsi="Times New Roman" w:cs="Times New Roman"/>
          <w:b/>
          <w:sz w:val="24"/>
          <w:szCs w:val="24"/>
          <w:lang w:val="es-ES_tradnl"/>
        </w:rPr>
        <w:t>OBJETIVO GENERAL</w:t>
      </w:r>
    </w:p>
    <w:p w:rsidR="0026282B" w:rsidRPr="0026282B" w:rsidRDefault="00BC6A4E" w:rsidP="00BC6A4E">
      <w:pPr>
        <w:pStyle w:val="Prrafodelista"/>
        <w:numPr>
          <w:ilvl w:val="0"/>
          <w:numId w:val="7"/>
        </w:numPr>
        <w:spacing w:line="360" w:lineRule="auto"/>
        <w:jc w:val="both"/>
        <w:rPr>
          <w:rFonts w:ascii="Times New Roman" w:hAnsi="Times New Roman" w:cs="Times New Roman"/>
          <w:b/>
          <w:sz w:val="24"/>
          <w:szCs w:val="24"/>
          <w:lang w:val="es-ES_tradnl"/>
        </w:rPr>
      </w:pPr>
      <w:r w:rsidRPr="0026282B">
        <w:rPr>
          <w:rFonts w:ascii="Times New Roman" w:hAnsi="Times New Roman" w:cs="Times New Roman"/>
          <w:sz w:val="24"/>
          <w:szCs w:val="24"/>
          <w:lang w:val="es-ES_tradnl"/>
        </w:rPr>
        <w:t xml:space="preserve">Investigar en las diferentes fuentes de información  todo lo </w:t>
      </w:r>
      <w:r w:rsidR="0054782F">
        <w:rPr>
          <w:rFonts w:ascii="Times New Roman" w:hAnsi="Times New Roman" w:cs="Times New Roman"/>
          <w:sz w:val="24"/>
          <w:szCs w:val="24"/>
          <w:lang w:val="es-ES_tradnl"/>
        </w:rPr>
        <w:t xml:space="preserve">referente a las normas internacionales de información financiera </w:t>
      </w:r>
    </w:p>
    <w:p w:rsidR="00BC6A4E" w:rsidRPr="0026282B" w:rsidRDefault="00BC6A4E" w:rsidP="00BC6A4E">
      <w:pPr>
        <w:pStyle w:val="Prrafodelista"/>
        <w:numPr>
          <w:ilvl w:val="0"/>
          <w:numId w:val="7"/>
        </w:numPr>
        <w:spacing w:line="360" w:lineRule="auto"/>
        <w:jc w:val="both"/>
        <w:rPr>
          <w:rFonts w:ascii="Times New Roman" w:hAnsi="Times New Roman" w:cs="Times New Roman"/>
          <w:b/>
          <w:sz w:val="24"/>
          <w:szCs w:val="24"/>
          <w:lang w:val="es-ES_tradnl"/>
        </w:rPr>
      </w:pPr>
      <w:r w:rsidRPr="0026282B">
        <w:rPr>
          <w:rFonts w:ascii="Times New Roman" w:hAnsi="Times New Roman" w:cs="Times New Roman"/>
          <w:b/>
          <w:sz w:val="24"/>
          <w:szCs w:val="24"/>
          <w:lang w:val="es-ES_tradnl"/>
        </w:rPr>
        <w:t xml:space="preserve">OBJETIVOS ESPECIFICOS </w:t>
      </w:r>
    </w:p>
    <w:p w:rsidR="00BC6A4E" w:rsidRPr="00EA04CC" w:rsidRDefault="00BC6A4E" w:rsidP="00BC6A4E">
      <w:pPr>
        <w:pStyle w:val="Prrafodelista"/>
        <w:numPr>
          <w:ilvl w:val="0"/>
          <w:numId w:val="7"/>
        </w:numPr>
        <w:spacing w:line="360" w:lineRule="auto"/>
        <w:jc w:val="both"/>
        <w:rPr>
          <w:rFonts w:ascii="Times New Roman" w:hAnsi="Times New Roman" w:cs="Times New Roman"/>
          <w:sz w:val="24"/>
          <w:szCs w:val="24"/>
          <w:lang w:val="es-ES_tradnl"/>
        </w:rPr>
      </w:pPr>
      <w:r w:rsidRPr="00EA04CC">
        <w:rPr>
          <w:rFonts w:ascii="Times New Roman" w:hAnsi="Times New Roman" w:cs="Times New Roman"/>
          <w:sz w:val="24"/>
          <w:szCs w:val="24"/>
          <w:lang w:val="es-ES_tradnl"/>
        </w:rPr>
        <w:t>Rec</w:t>
      </w:r>
      <w:r w:rsidR="0054782F">
        <w:rPr>
          <w:rFonts w:ascii="Times New Roman" w:hAnsi="Times New Roman" w:cs="Times New Roman"/>
          <w:sz w:val="24"/>
          <w:szCs w:val="24"/>
          <w:lang w:val="es-ES_tradnl"/>
        </w:rPr>
        <w:t>opilar toda la información anteriormente investigada.</w:t>
      </w:r>
    </w:p>
    <w:p w:rsidR="00BC6A4E" w:rsidRPr="00EA04CC" w:rsidRDefault="00BC6A4E" w:rsidP="00BC6A4E">
      <w:pPr>
        <w:pStyle w:val="Prrafodelista"/>
        <w:numPr>
          <w:ilvl w:val="0"/>
          <w:numId w:val="7"/>
        </w:numPr>
        <w:spacing w:line="360" w:lineRule="auto"/>
        <w:jc w:val="both"/>
        <w:rPr>
          <w:rFonts w:ascii="Times New Roman" w:hAnsi="Times New Roman" w:cs="Times New Roman"/>
          <w:sz w:val="24"/>
          <w:szCs w:val="24"/>
          <w:lang w:val="es-ES_tradnl"/>
        </w:rPr>
      </w:pPr>
      <w:r w:rsidRPr="00EA04CC">
        <w:rPr>
          <w:rFonts w:ascii="Times New Roman" w:hAnsi="Times New Roman" w:cs="Times New Roman"/>
          <w:sz w:val="24"/>
          <w:szCs w:val="24"/>
          <w:lang w:val="es-ES_tradnl"/>
        </w:rPr>
        <w:t>Conocer</w:t>
      </w:r>
      <w:r w:rsidR="0054782F">
        <w:rPr>
          <w:rFonts w:ascii="Times New Roman" w:hAnsi="Times New Roman" w:cs="Times New Roman"/>
          <w:sz w:val="24"/>
          <w:szCs w:val="24"/>
          <w:lang w:val="es-ES_tradnl"/>
        </w:rPr>
        <w:t xml:space="preserve"> las normas internacionales de información financiera </w:t>
      </w:r>
    </w:p>
    <w:p w:rsidR="00BC6A4E" w:rsidRDefault="00BC6A4E" w:rsidP="00BC6A4E">
      <w:pPr>
        <w:pStyle w:val="Prrafodelista"/>
        <w:numPr>
          <w:ilvl w:val="0"/>
          <w:numId w:val="7"/>
        </w:numPr>
        <w:spacing w:line="360" w:lineRule="auto"/>
        <w:jc w:val="both"/>
        <w:rPr>
          <w:rFonts w:ascii="Times New Roman" w:hAnsi="Times New Roman" w:cs="Times New Roman"/>
          <w:sz w:val="24"/>
          <w:szCs w:val="24"/>
          <w:lang w:val="es-ES_tradnl"/>
        </w:rPr>
      </w:pPr>
      <w:r w:rsidRPr="00EA04CC">
        <w:rPr>
          <w:rFonts w:ascii="Times New Roman" w:hAnsi="Times New Roman" w:cs="Times New Roman"/>
          <w:sz w:val="24"/>
          <w:szCs w:val="24"/>
          <w:lang w:val="es-ES_tradnl"/>
        </w:rPr>
        <w:t>Analizar lo más importante</w:t>
      </w:r>
      <w:r w:rsidR="0054782F">
        <w:rPr>
          <w:rFonts w:ascii="Times New Roman" w:hAnsi="Times New Roman" w:cs="Times New Roman"/>
          <w:sz w:val="24"/>
          <w:szCs w:val="24"/>
          <w:lang w:val="es-ES_tradnl"/>
        </w:rPr>
        <w:t xml:space="preserve"> sobre las normas internacionales de información financiera.</w:t>
      </w:r>
    </w:p>
    <w:p w:rsidR="006F16C4" w:rsidRPr="0054782F" w:rsidRDefault="0054782F" w:rsidP="0054782F">
      <w:pPr>
        <w:spacing w:line="360" w:lineRule="auto"/>
        <w:ind w:left="360"/>
        <w:jc w:val="both"/>
        <w:rPr>
          <w:rFonts w:ascii="Times New Roman" w:hAnsi="Times New Roman" w:cs="Times New Roman"/>
          <w:b/>
          <w:sz w:val="24"/>
          <w:szCs w:val="24"/>
          <w:lang w:val="es-ES_tradnl"/>
        </w:rPr>
      </w:pPr>
      <w:r w:rsidRPr="0054782F">
        <w:rPr>
          <w:rFonts w:ascii="Times New Roman" w:hAnsi="Times New Roman" w:cs="Times New Roman"/>
          <w:b/>
          <w:sz w:val="24"/>
          <w:szCs w:val="24"/>
          <w:lang w:val="es-ES_tradnl"/>
        </w:rPr>
        <w:t>CONTENIDO DE LA CONSULTA.</w:t>
      </w:r>
    </w:p>
    <w:p w:rsidR="00150A1E" w:rsidRPr="007C5B44" w:rsidRDefault="007C5B44" w:rsidP="006F16C4">
      <w:pPr>
        <w:spacing w:line="360" w:lineRule="auto"/>
        <w:jc w:val="both"/>
        <w:rPr>
          <w:rFonts w:ascii="Times New Roman" w:hAnsi="Times New Roman" w:cs="Times New Roman"/>
          <w:b/>
          <w:sz w:val="24"/>
          <w:szCs w:val="24"/>
          <w:u w:val="single"/>
        </w:rPr>
      </w:pPr>
      <w:r w:rsidRPr="007C5B44">
        <w:rPr>
          <w:rFonts w:ascii="Times New Roman" w:hAnsi="Times New Roman" w:cs="Times New Roman"/>
          <w:b/>
          <w:sz w:val="24"/>
          <w:szCs w:val="24"/>
          <w:u w:val="single"/>
        </w:rPr>
        <w:t xml:space="preserve">PRINCIPIOS DE LOS ESTADOS FINANCIEROS </w:t>
      </w:r>
    </w:p>
    <w:p w:rsidR="008655B0" w:rsidRPr="006F16C4" w:rsidRDefault="008655B0"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principios contables, generalmente aceptados, deben ser acogidos por la totalidad de las empresas y contemplan las convenciones, normas y procedimientos con los que se fijan las prácticas contables desarrolladas con bases en la experiencia, el criterio y la costumbre.</w:t>
      </w:r>
    </w:p>
    <w:p w:rsidR="008655B0" w:rsidRPr="006F16C4" w:rsidRDefault="008655B0" w:rsidP="006F16C4">
      <w:pPr>
        <w:pStyle w:val="Prrafodelista"/>
        <w:numPr>
          <w:ilvl w:val="0"/>
          <w:numId w:val="1"/>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datos contables deben ser registrados en términos de dinero; para el caso colombiano, en pesos</w:t>
      </w:r>
    </w:p>
    <w:p w:rsidR="008655B0" w:rsidRPr="006F16C4" w:rsidRDefault="008655B0" w:rsidP="006F16C4">
      <w:pPr>
        <w:pStyle w:val="Prrafodelista"/>
        <w:numPr>
          <w:ilvl w:val="0"/>
          <w:numId w:val="1"/>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Toda transacción debe ser contabilizado por partida doble, esto es, sobre todo activo existen derechos de los socios y/o de los acreedores.</w:t>
      </w:r>
    </w:p>
    <w:p w:rsidR="008655B0" w:rsidRPr="006F16C4" w:rsidRDefault="00371543" w:rsidP="006F16C4">
      <w:pPr>
        <w:pStyle w:val="Prrafodelista"/>
        <w:numPr>
          <w:ilvl w:val="0"/>
          <w:numId w:val="1"/>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empresa es una entidad independiente de sus socios o propietarios, por lo cual las bases contables deben sujetarse a este principio.</w:t>
      </w:r>
    </w:p>
    <w:p w:rsidR="00371543" w:rsidRPr="006F16C4" w:rsidRDefault="00371543" w:rsidP="006F16C4">
      <w:pPr>
        <w:pStyle w:val="Prrafodelista"/>
        <w:numPr>
          <w:ilvl w:val="0"/>
          <w:numId w:val="1"/>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Se debe partir del supuesto que los estados financieros son consistentes, es decir que se han empleado las mismas técnicas contables todos los años, de tal manera que puedan ser comparadas.</w:t>
      </w:r>
    </w:p>
    <w:p w:rsidR="00371543" w:rsidRPr="006F16C4" w:rsidRDefault="00371543" w:rsidP="006F16C4">
      <w:pPr>
        <w:pStyle w:val="Prrafodelista"/>
        <w:numPr>
          <w:ilvl w:val="0"/>
          <w:numId w:val="1"/>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ingresos se reconocen basados en la acusación y en un intercambio económico, ajustado al principio de la partida doble.</w:t>
      </w:r>
    </w:p>
    <w:p w:rsidR="00371543" w:rsidRPr="006F16C4" w:rsidRDefault="00371543" w:rsidP="006F16C4">
      <w:pPr>
        <w:pStyle w:val="Prrafodelista"/>
        <w:numPr>
          <w:ilvl w:val="0"/>
          <w:numId w:val="1"/>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Las partidas del Balance General son valuadas, en su mayoría, al costo con el fin de mantener un principio conservador.</w:t>
      </w:r>
    </w:p>
    <w:p w:rsidR="00371543" w:rsidRDefault="00371543" w:rsidP="006F16C4">
      <w:pPr>
        <w:pStyle w:val="Prrafodelista"/>
        <w:numPr>
          <w:ilvl w:val="0"/>
          <w:numId w:val="1"/>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Al igual que el punto anterior, las perdidas sobre derechos </w:t>
      </w:r>
      <w:r w:rsidR="007C2C40" w:rsidRPr="006F16C4">
        <w:rPr>
          <w:rFonts w:ascii="Times New Roman" w:hAnsi="Times New Roman" w:cs="Times New Roman"/>
          <w:sz w:val="24"/>
          <w:szCs w:val="24"/>
        </w:rPr>
        <w:t>se debería registrar inmediatamente, pero las utilidades no.</w:t>
      </w:r>
    </w:p>
    <w:p w:rsidR="00D96A0A" w:rsidRDefault="00D96A0A" w:rsidP="00D96A0A">
      <w:pPr>
        <w:spacing w:line="360" w:lineRule="auto"/>
        <w:ind w:left="360"/>
        <w:jc w:val="both"/>
        <w:rPr>
          <w:rFonts w:ascii="Times New Roman" w:hAnsi="Times New Roman" w:cs="Times New Roman"/>
          <w:b/>
          <w:i/>
          <w:sz w:val="24"/>
          <w:szCs w:val="24"/>
          <w:u w:val="single"/>
        </w:rPr>
      </w:pPr>
      <w:r w:rsidRPr="00D96A0A">
        <w:rPr>
          <w:rFonts w:ascii="Times New Roman" w:hAnsi="Times New Roman" w:cs="Times New Roman"/>
          <w:b/>
          <w:i/>
          <w:sz w:val="24"/>
          <w:szCs w:val="24"/>
          <w:u w:val="single"/>
        </w:rPr>
        <w:lastRenderedPageBreak/>
        <w:t xml:space="preserve">Ejemplos </w:t>
      </w:r>
    </w:p>
    <w:p w:rsidR="00D96A0A" w:rsidRPr="00D96A0A" w:rsidRDefault="00D96A0A" w:rsidP="00D96A0A">
      <w:pPr>
        <w:pStyle w:val="Prrafodelista"/>
        <w:numPr>
          <w:ilvl w:val="0"/>
          <w:numId w:val="8"/>
        </w:numPr>
        <w:spacing w:line="360" w:lineRule="auto"/>
        <w:jc w:val="both"/>
        <w:rPr>
          <w:rFonts w:ascii="Times New Roman" w:hAnsi="Times New Roman" w:cs="Times New Roman"/>
          <w:sz w:val="24"/>
          <w:szCs w:val="24"/>
        </w:rPr>
      </w:pPr>
      <w:r w:rsidRPr="00D96A0A">
        <w:rPr>
          <w:rFonts w:ascii="Times New Roman" w:hAnsi="Times New Roman" w:cs="Times New Roman"/>
          <w:sz w:val="24"/>
          <w:szCs w:val="24"/>
        </w:rPr>
        <w:t xml:space="preserve">En ecuador se  utiliza como moneda circulante el dólar </w:t>
      </w:r>
    </w:p>
    <w:p w:rsidR="006757D4" w:rsidRPr="006757D4" w:rsidRDefault="00D96A0A" w:rsidP="006757D4">
      <w:pPr>
        <w:pStyle w:val="Prrafodelista"/>
        <w:numPr>
          <w:ilvl w:val="0"/>
          <w:numId w:val="8"/>
        </w:numPr>
        <w:spacing w:line="360" w:lineRule="auto"/>
        <w:jc w:val="both"/>
        <w:rPr>
          <w:rFonts w:ascii="Times New Roman" w:hAnsi="Times New Roman" w:cs="Times New Roman"/>
          <w:b/>
          <w:i/>
          <w:sz w:val="24"/>
          <w:szCs w:val="24"/>
          <w:u w:val="single"/>
        </w:rPr>
      </w:pPr>
      <w:r w:rsidRPr="00D96A0A">
        <w:rPr>
          <w:rFonts w:ascii="Times New Roman" w:hAnsi="Times New Roman" w:cs="Times New Roman"/>
          <w:sz w:val="24"/>
          <w:szCs w:val="24"/>
        </w:rPr>
        <w:t>Supongamos una empresa que compra un coche por 15.000 USD y lo pago a través del Banco, evidentemente lo que entra en nuestra empresa o aumenta nuestra patrimonio es la compra del coche, por otro lado, lo que disminuye nuestro patrimonio es la salida de dinero que ser realiza en nuestra cuenta bancaria, por lo que tendríamos.</w:t>
      </w:r>
    </w:p>
    <w:p w:rsidR="006757D4" w:rsidRPr="006757D4" w:rsidRDefault="006757D4" w:rsidP="006757D4">
      <w:pPr>
        <w:pStyle w:val="Prrafodelista"/>
        <w:numPr>
          <w:ilvl w:val="0"/>
          <w:numId w:val="8"/>
        </w:numPr>
        <w:spacing w:line="360" w:lineRule="auto"/>
        <w:jc w:val="both"/>
        <w:rPr>
          <w:rFonts w:ascii="Times New Roman" w:hAnsi="Times New Roman" w:cs="Times New Roman"/>
          <w:b/>
          <w:i/>
          <w:sz w:val="24"/>
          <w:szCs w:val="24"/>
          <w:u w:val="single"/>
        </w:rPr>
      </w:pPr>
      <w:r w:rsidRPr="006757D4">
        <w:rPr>
          <w:rFonts w:ascii="Times New Roman" w:hAnsi="Times New Roman" w:cs="Times New Roman"/>
          <w:sz w:val="24"/>
          <w:szCs w:val="24"/>
        </w:rPr>
        <w:t xml:space="preserve">El propietario es un solo individuo, quien se beneficia de las ganancias de la actividad productiva de su empresa, pero también asume las pérdidas ocasionadas aún a costa de su patrimonio. </w:t>
      </w:r>
    </w:p>
    <w:p w:rsidR="006757D4" w:rsidRPr="00B2031B" w:rsidRDefault="00B2031B" w:rsidP="006757D4">
      <w:pPr>
        <w:pStyle w:val="Prrafodelista"/>
        <w:numPr>
          <w:ilvl w:val="0"/>
          <w:numId w:val="8"/>
        </w:numPr>
        <w:spacing w:line="360" w:lineRule="auto"/>
        <w:jc w:val="both"/>
        <w:rPr>
          <w:rFonts w:ascii="Times New Roman" w:hAnsi="Times New Roman" w:cs="Times New Roman"/>
          <w:b/>
          <w:i/>
          <w:sz w:val="24"/>
          <w:szCs w:val="24"/>
          <w:u w:val="single"/>
        </w:rPr>
      </w:pPr>
      <w:r w:rsidRPr="00B2031B">
        <w:rPr>
          <w:rFonts w:ascii="Times New Roman" w:hAnsi="Times New Roman" w:cs="Times New Roman"/>
        </w:rPr>
        <w:t>Se debe entender como hecho económico cualquier operación que una empresa realice, ya sea externa o internamente (compras, ventas, créditos, aportes, distribución de dividendos, etc.)</w:t>
      </w:r>
    </w:p>
    <w:p w:rsidR="00B2031B" w:rsidRDefault="00B2031B" w:rsidP="00B2031B">
      <w:pPr>
        <w:pStyle w:val="NormalWeb"/>
        <w:numPr>
          <w:ilvl w:val="0"/>
          <w:numId w:val="8"/>
        </w:numPr>
      </w:pPr>
      <w:r>
        <w:t>Efectivo</w:t>
      </w:r>
    </w:p>
    <w:p w:rsidR="00B2031B" w:rsidRDefault="00B2031B" w:rsidP="00B2031B">
      <w:pPr>
        <w:pStyle w:val="NormalWeb"/>
        <w:ind w:left="1080"/>
      </w:pPr>
      <w:r>
        <w:t>- Efectos y cuentas por cobrar</w:t>
      </w:r>
    </w:p>
    <w:p w:rsidR="00B2031B" w:rsidRDefault="00B2031B" w:rsidP="00B2031B">
      <w:pPr>
        <w:pStyle w:val="NormalWeb"/>
        <w:ind w:left="1080"/>
      </w:pPr>
      <w:r>
        <w:t>- Cuentas por cobrar relacionadas</w:t>
      </w:r>
    </w:p>
    <w:p w:rsidR="00B2031B" w:rsidRDefault="00B2031B" w:rsidP="00B2031B">
      <w:pPr>
        <w:pStyle w:val="NormalWeb"/>
        <w:ind w:left="1080"/>
      </w:pPr>
      <w:r>
        <w:t>- Depósitos en garantía</w:t>
      </w:r>
    </w:p>
    <w:p w:rsidR="00B2031B" w:rsidRPr="00B2031B" w:rsidRDefault="00B2031B" w:rsidP="00B2031B">
      <w:pPr>
        <w:pStyle w:val="Prrafodelista"/>
        <w:spacing w:line="360" w:lineRule="auto"/>
        <w:ind w:left="1080"/>
        <w:jc w:val="both"/>
        <w:rPr>
          <w:rFonts w:ascii="Times New Roman" w:hAnsi="Times New Roman" w:cs="Times New Roman"/>
          <w:b/>
          <w:i/>
          <w:sz w:val="24"/>
          <w:szCs w:val="24"/>
          <w:u w:val="single"/>
        </w:rPr>
      </w:pPr>
    </w:p>
    <w:p w:rsidR="007C2C40" w:rsidRPr="006757D4" w:rsidRDefault="007C2C40" w:rsidP="006F16C4">
      <w:pPr>
        <w:pStyle w:val="Prrafodelista"/>
        <w:numPr>
          <w:ilvl w:val="0"/>
          <w:numId w:val="8"/>
        </w:numPr>
        <w:spacing w:line="360" w:lineRule="auto"/>
        <w:ind w:left="360"/>
        <w:jc w:val="both"/>
        <w:rPr>
          <w:rFonts w:ascii="Times New Roman" w:hAnsi="Times New Roman" w:cs="Times New Roman"/>
          <w:b/>
          <w:sz w:val="24"/>
          <w:szCs w:val="24"/>
        </w:rPr>
      </w:pPr>
      <w:r w:rsidRPr="006757D4">
        <w:rPr>
          <w:rFonts w:ascii="Times New Roman" w:hAnsi="Times New Roman" w:cs="Times New Roman"/>
          <w:b/>
          <w:sz w:val="24"/>
          <w:szCs w:val="24"/>
        </w:rPr>
        <w:t>Limitaciones de los estados financieros.</w:t>
      </w:r>
    </w:p>
    <w:p w:rsidR="007C2C40" w:rsidRPr="006F16C4" w:rsidRDefault="007C2C40" w:rsidP="006F16C4">
      <w:pPr>
        <w:spacing w:line="360" w:lineRule="auto"/>
        <w:ind w:left="360"/>
        <w:jc w:val="both"/>
        <w:rPr>
          <w:rFonts w:ascii="Times New Roman" w:hAnsi="Times New Roman" w:cs="Times New Roman"/>
          <w:sz w:val="24"/>
          <w:szCs w:val="24"/>
        </w:rPr>
      </w:pPr>
      <w:r w:rsidRPr="006F16C4">
        <w:rPr>
          <w:rFonts w:ascii="Times New Roman" w:hAnsi="Times New Roman" w:cs="Times New Roman"/>
          <w:sz w:val="24"/>
          <w:szCs w:val="24"/>
        </w:rPr>
        <w:t>Pese a que se conciben generalmente como exactos, precisos y confiables, los estados financieros presentan algunas limitaciones, entre las cuales podemos destacar.</w:t>
      </w:r>
    </w:p>
    <w:p w:rsidR="007C2C40" w:rsidRPr="006F16C4" w:rsidRDefault="007C2C40" w:rsidP="006F16C4">
      <w:pPr>
        <w:pStyle w:val="Prrafodelista"/>
        <w:numPr>
          <w:ilvl w:val="0"/>
          <w:numId w:val="2"/>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son informes provisionales, pues las ganancias y/o  perdidas reales solo se pueden calcular en el momento en que se realizan o liquidan los derechos.</w:t>
      </w:r>
    </w:p>
    <w:p w:rsidR="007C2C40" w:rsidRPr="006F16C4" w:rsidRDefault="007C2C40" w:rsidP="006F16C4">
      <w:pPr>
        <w:pStyle w:val="Prrafodelista"/>
        <w:numPr>
          <w:ilvl w:val="0"/>
          <w:numId w:val="2"/>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Los estados financieros involucran a varias áreas dentro de las </w:t>
      </w:r>
      <w:r w:rsidR="00C96BE2" w:rsidRPr="006F16C4">
        <w:rPr>
          <w:rFonts w:ascii="Times New Roman" w:hAnsi="Times New Roman" w:cs="Times New Roman"/>
          <w:sz w:val="24"/>
          <w:szCs w:val="24"/>
        </w:rPr>
        <w:t>organizaciones por lo cual confluyen diversos intereses sobre las normas propias a ser aplicadas</w:t>
      </w:r>
    </w:p>
    <w:p w:rsidR="00C96BE2" w:rsidRPr="006F16C4" w:rsidRDefault="00C96BE2" w:rsidP="006F16C4">
      <w:pPr>
        <w:pStyle w:val="Prrafodelista"/>
        <w:numPr>
          <w:ilvl w:val="0"/>
          <w:numId w:val="2"/>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En una economía inflacionaria, como la colombiana y con grandes recesiones, en un momento determinado no se puede determinar el valor de </w:t>
      </w:r>
      <w:r w:rsidRPr="006F16C4">
        <w:rPr>
          <w:rFonts w:ascii="Times New Roman" w:hAnsi="Times New Roman" w:cs="Times New Roman"/>
          <w:sz w:val="24"/>
          <w:szCs w:val="24"/>
        </w:rPr>
        <w:lastRenderedPageBreak/>
        <w:t>los activos, pese a que con los ajustes por inflación y las valorizaciones se dio un importante avance en minimizar las diferencias.</w:t>
      </w:r>
    </w:p>
    <w:p w:rsidR="00A9034B" w:rsidRDefault="00C96BE2" w:rsidP="006F16C4">
      <w:pPr>
        <w:pStyle w:val="Prrafodelista"/>
        <w:numPr>
          <w:ilvl w:val="0"/>
          <w:numId w:val="2"/>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estados de resultados no muestran algunas situaciones que afectan la situación la situación financiera y el resultado de las operaciones, como pueden ser gestión administrativa, el porcentaje de cumplimiento de los presupuestos, la productividad de los empleados, entre otros.</w:t>
      </w:r>
      <w:sdt>
        <w:sdtPr>
          <w:rPr>
            <w:rFonts w:ascii="Times New Roman" w:hAnsi="Times New Roman" w:cs="Times New Roman"/>
            <w:sz w:val="24"/>
            <w:szCs w:val="24"/>
          </w:rPr>
          <w:id w:val="-702025193"/>
          <w:citation/>
        </w:sdtPr>
        <w:sdtEndPr/>
        <w:sdtContent>
          <w:r w:rsidR="007C5B44">
            <w:rPr>
              <w:rFonts w:ascii="Times New Roman" w:hAnsi="Times New Roman" w:cs="Times New Roman"/>
              <w:sz w:val="24"/>
              <w:szCs w:val="24"/>
            </w:rPr>
            <w:fldChar w:fldCharType="begin"/>
          </w:r>
          <w:r w:rsidR="007C5B44">
            <w:rPr>
              <w:rFonts w:ascii="Times New Roman" w:hAnsi="Times New Roman" w:cs="Times New Roman"/>
              <w:sz w:val="24"/>
              <w:szCs w:val="24"/>
            </w:rPr>
            <w:instrText xml:space="preserve"> CITATION Ana99 \l 3082 </w:instrText>
          </w:r>
          <w:r w:rsidR="007C5B44">
            <w:rPr>
              <w:rFonts w:ascii="Times New Roman" w:hAnsi="Times New Roman" w:cs="Times New Roman"/>
              <w:sz w:val="24"/>
              <w:szCs w:val="24"/>
            </w:rPr>
            <w:fldChar w:fldCharType="separate"/>
          </w:r>
          <w:r w:rsidR="007C5B44">
            <w:rPr>
              <w:rFonts w:ascii="Times New Roman" w:hAnsi="Times New Roman" w:cs="Times New Roman"/>
              <w:noProof/>
              <w:sz w:val="24"/>
              <w:szCs w:val="24"/>
            </w:rPr>
            <w:t xml:space="preserve"> </w:t>
          </w:r>
          <w:r w:rsidR="007C5B44" w:rsidRPr="007C5B44">
            <w:rPr>
              <w:rFonts w:ascii="Times New Roman" w:hAnsi="Times New Roman" w:cs="Times New Roman"/>
              <w:noProof/>
              <w:sz w:val="24"/>
              <w:szCs w:val="24"/>
            </w:rPr>
            <w:t>(Financiero, 1999)</w:t>
          </w:r>
          <w:r w:rsidR="007C5B44">
            <w:rPr>
              <w:rFonts w:ascii="Times New Roman" w:hAnsi="Times New Roman" w:cs="Times New Roman"/>
              <w:sz w:val="24"/>
              <w:szCs w:val="24"/>
            </w:rPr>
            <w:fldChar w:fldCharType="end"/>
          </w:r>
        </w:sdtContent>
      </w:sdt>
    </w:p>
    <w:p w:rsidR="00397BB9" w:rsidRDefault="00397BB9" w:rsidP="00397BB9">
      <w:pPr>
        <w:pStyle w:val="Prrafodelista"/>
        <w:spacing w:line="360" w:lineRule="auto"/>
        <w:ind w:left="1080"/>
        <w:jc w:val="both"/>
        <w:rPr>
          <w:rFonts w:ascii="Times New Roman" w:hAnsi="Times New Roman" w:cs="Times New Roman"/>
          <w:sz w:val="24"/>
          <w:szCs w:val="24"/>
        </w:rPr>
      </w:pPr>
    </w:p>
    <w:p w:rsidR="00397BB9" w:rsidRDefault="00397BB9" w:rsidP="00397BB9">
      <w:pPr>
        <w:pStyle w:val="Prrafodelista"/>
        <w:spacing w:line="360" w:lineRule="auto"/>
        <w:ind w:left="1080"/>
        <w:jc w:val="both"/>
        <w:rPr>
          <w:rFonts w:ascii="Times New Roman" w:hAnsi="Times New Roman" w:cs="Times New Roman"/>
          <w:b/>
          <w:i/>
          <w:sz w:val="24"/>
          <w:szCs w:val="24"/>
        </w:rPr>
      </w:pPr>
      <w:r w:rsidRPr="00397BB9">
        <w:rPr>
          <w:rFonts w:ascii="Times New Roman" w:hAnsi="Times New Roman" w:cs="Times New Roman"/>
          <w:b/>
          <w:i/>
          <w:sz w:val="24"/>
          <w:szCs w:val="24"/>
        </w:rPr>
        <w:t xml:space="preserve">Ejemplos </w:t>
      </w:r>
    </w:p>
    <w:p w:rsidR="00AB6718" w:rsidRPr="00687C11" w:rsidRDefault="00B2031B" w:rsidP="00B2031B">
      <w:pPr>
        <w:pStyle w:val="Prrafodelista"/>
        <w:numPr>
          <w:ilvl w:val="0"/>
          <w:numId w:val="8"/>
        </w:numPr>
        <w:spacing w:line="360" w:lineRule="auto"/>
        <w:jc w:val="both"/>
        <w:rPr>
          <w:rFonts w:ascii="Times New Roman" w:hAnsi="Times New Roman" w:cs="Times New Roman"/>
          <w:sz w:val="24"/>
          <w:szCs w:val="24"/>
        </w:rPr>
      </w:pPr>
      <w:r w:rsidRPr="00B2031B">
        <w:rPr>
          <w:rFonts w:ascii="Times New Roman" w:hAnsi="Times New Roman" w:cs="Times New Roman"/>
          <w:sz w:val="24"/>
          <w:szCs w:val="24"/>
        </w:rPr>
        <w:t xml:space="preserve">puesto que tal exactitud sólo se conoce al mo-mento de fundarse, o liquidarse la empresa, en determinadocondiciones. </w:t>
      </w:r>
      <w:r w:rsidRPr="00B2031B">
        <w:rPr>
          <w:rFonts w:ascii="Times New Roman" w:hAnsi="Times New Roman" w:cs="Times New Roman"/>
          <w:sz w:val="24"/>
          <w:szCs w:val="24"/>
          <w:lang w:val="en"/>
        </w:rPr>
        <w:t>Además, ya mencionamos el hecho de que incluyenapreciaciones personales.</w:t>
      </w:r>
    </w:p>
    <w:p w:rsidR="00687C11" w:rsidRDefault="00687C11" w:rsidP="00B2031B">
      <w:pPr>
        <w:pStyle w:val="Prrafodelista"/>
        <w:numPr>
          <w:ilvl w:val="0"/>
          <w:numId w:val="8"/>
        </w:numPr>
        <w:spacing w:line="360" w:lineRule="auto"/>
        <w:jc w:val="both"/>
        <w:rPr>
          <w:rFonts w:ascii="Times New Roman" w:hAnsi="Times New Roman" w:cs="Times New Roman"/>
          <w:sz w:val="24"/>
          <w:szCs w:val="24"/>
        </w:rPr>
      </w:pPr>
      <w:r w:rsidRPr="00687C11">
        <w:rPr>
          <w:rFonts w:ascii="Times New Roman" w:hAnsi="Times New Roman" w:cs="Times New Roman"/>
          <w:sz w:val="24"/>
          <w:szCs w:val="24"/>
        </w:rPr>
        <w:t>un aumento notable en las “Ventas”</w:t>
      </w:r>
      <w:proofErr w:type="gramStart"/>
      <w:r w:rsidRPr="00687C11">
        <w:rPr>
          <w:rFonts w:ascii="Times New Roman" w:hAnsi="Times New Roman" w:cs="Times New Roman"/>
          <w:sz w:val="24"/>
          <w:szCs w:val="24"/>
        </w:rPr>
        <w:t>,puede</w:t>
      </w:r>
      <w:proofErr w:type="gramEnd"/>
      <w:r w:rsidRPr="00687C11">
        <w:rPr>
          <w:rFonts w:ascii="Times New Roman" w:hAnsi="Times New Roman" w:cs="Times New Roman"/>
          <w:sz w:val="24"/>
          <w:szCs w:val="24"/>
        </w:rPr>
        <w:t xml:space="preserve"> deberse a un alza de los precios de venta; lo cual pudo ha-ver sido inclusive causa de una disminución del número de unida-des vendidas.</w:t>
      </w:r>
    </w:p>
    <w:p w:rsidR="00687C11" w:rsidRDefault="00687C11" w:rsidP="00B2031B">
      <w:pPr>
        <w:pStyle w:val="Prrafodelista"/>
        <w:numPr>
          <w:ilvl w:val="0"/>
          <w:numId w:val="8"/>
        </w:numPr>
        <w:spacing w:line="360" w:lineRule="auto"/>
        <w:jc w:val="both"/>
        <w:rPr>
          <w:rFonts w:ascii="Times New Roman" w:hAnsi="Times New Roman" w:cs="Times New Roman"/>
          <w:sz w:val="24"/>
          <w:szCs w:val="24"/>
        </w:rPr>
      </w:pPr>
      <w:r w:rsidRPr="00687C11">
        <w:rPr>
          <w:rFonts w:ascii="Times New Roman" w:hAnsi="Times New Roman" w:cs="Times New Roman"/>
          <w:sz w:val="24"/>
          <w:szCs w:val="24"/>
        </w:rPr>
        <w:t>c) No pueden reflejar aquellos aspectos financieros de los negocios,que no sean factibles de pondera</w:t>
      </w:r>
      <w:r>
        <w:rPr>
          <w:rFonts w:ascii="Times New Roman" w:hAnsi="Times New Roman" w:cs="Times New Roman"/>
          <w:sz w:val="24"/>
          <w:szCs w:val="24"/>
        </w:rPr>
        <w:t>rse con la vara de medir del di</w:t>
      </w:r>
      <w:r w:rsidRPr="00687C11">
        <w:rPr>
          <w:rFonts w:ascii="Times New Roman" w:hAnsi="Times New Roman" w:cs="Times New Roman"/>
          <w:sz w:val="24"/>
          <w:szCs w:val="24"/>
        </w:rPr>
        <w:t>nero; tales como: la reputación, prestigio y aceptación pública dela empresa; la eficiencia, idoneidad y lealtad de su personal</w:t>
      </w:r>
    </w:p>
    <w:p w:rsidR="00397BB9" w:rsidRPr="00687C11" w:rsidRDefault="00397BB9" w:rsidP="00687C11">
      <w:pPr>
        <w:spacing w:line="360" w:lineRule="auto"/>
        <w:jc w:val="both"/>
        <w:rPr>
          <w:rFonts w:ascii="Times New Roman" w:hAnsi="Times New Roman" w:cs="Times New Roman"/>
          <w:sz w:val="24"/>
          <w:szCs w:val="24"/>
        </w:rPr>
      </w:pPr>
    </w:p>
    <w:p w:rsidR="00A9034B" w:rsidRPr="007C5B44" w:rsidRDefault="006F16C4" w:rsidP="006F16C4">
      <w:pPr>
        <w:spacing w:line="360" w:lineRule="auto"/>
        <w:jc w:val="both"/>
        <w:rPr>
          <w:rFonts w:ascii="Times New Roman" w:hAnsi="Times New Roman" w:cs="Times New Roman"/>
          <w:b/>
          <w:bCs/>
          <w:sz w:val="24"/>
          <w:szCs w:val="24"/>
          <w:u w:val="single"/>
        </w:rPr>
      </w:pPr>
      <w:r w:rsidRPr="007C5B44">
        <w:rPr>
          <w:rFonts w:ascii="Times New Roman" w:hAnsi="Times New Roman" w:cs="Times New Roman"/>
          <w:b/>
          <w:bCs/>
          <w:sz w:val="24"/>
          <w:szCs w:val="24"/>
          <w:u w:val="single"/>
        </w:rPr>
        <w:t>NORMAS INTERNACIONALES DE INFORMACIÓN FINANCIERA (NIIF).</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Define el objetivo de los estados financieros de uso general, que es proporcionar información sobre la posición financiera, los resultados y los cambios en la posición financiera de una entidad.</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El Marco identifica cuatro características cualitativas principales: claridad, relevancia, fiabilidad y comparabilidad.</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Define las partidas básicas de los estados financieros y los conceptos para su reconocimiento y medición en los estados financieros. Los elementos directamente relacionados con la posición financiera son el activo, el pasivo exigible y el patrimonio neto. Los elementos directamente relacionados con los resultados son los ingresos y gastos.</w:t>
      </w:r>
    </w:p>
    <w:p w:rsidR="00A9034B" w:rsidRPr="007C5B4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lastRenderedPageBreak/>
        <w:t>NIIF 1 Adopción por primera vez de las Normas Internacionales de Información Financiera</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Establece los procedimientos que </w:t>
      </w:r>
      <w:proofErr w:type="spellStart"/>
      <w:r w:rsidRPr="006F16C4">
        <w:rPr>
          <w:rFonts w:ascii="Times New Roman" w:hAnsi="Times New Roman" w:cs="Times New Roman"/>
          <w:sz w:val="24"/>
          <w:szCs w:val="24"/>
        </w:rPr>
        <w:t>sogue</w:t>
      </w:r>
      <w:proofErr w:type="spellEnd"/>
      <w:r w:rsidRPr="006F16C4">
        <w:rPr>
          <w:rFonts w:ascii="Times New Roman" w:hAnsi="Times New Roman" w:cs="Times New Roman"/>
          <w:sz w:val="24"/>
          <w:szCs w:val="24"/>
        </w:rPr>
        <w:t xml:space="preserve"> una empresa que adopta las NIIF por primera vez como base de presentación de los estados financieros.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Se necesita una declaración explícita y sin reservas sobre el cumplimiento de las NIIF, en sus estados financieros </w:t>
      </w:r>
      <w:proofErr w:type="gramStart"/>
      <w:r w:rsidRPr="006F16C4">
        <w:rPr>
          <w:rFonts w:ascii="Times New Roman" w:hAnsi="Times New Roman" w:cs="Times New Roman"/>
          <w:sz w:val="24"/>
          <w:szCs w:val="24"/>
        </w:rPr>
        <w:t>anuales .</w:t>
      </w:r>
      <w:proofErr w:type="gramEnd"/>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Seleccionar sus políticas contables en función de las NIIF</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Preparar al menos los estados financieros de por ejemplo el 2011 y 2010 y generar retroactivamente el estado de situación financiera de apertura aplicando las NIIF vigentes.</w:t>
      </w:r>
      <w:sdt>
        <w:sdtPr>
          <w:rPr>
            <w:rFonts w:ascii="Times New Roman" w:hAnsi="Times New Roman" w:cs="Times New Roman"/>
            <w:sz w:val="24"/>
            <w:szCs w:val="24"/>
          </w:rPr>
          <w:id w:val="-1826346904"/>
          <w:citation/>
        </w:sdtPr>
        <w:sdtEndPr/>
        <w:sdtContent>
          <w:r w:rsidR="007C5B44">
            <w:rPr>
              <w:rFonts w:ascii="Times New Roman" w:hAnsi="Times New Roman" w:cs="Times New Roman"/>
              <w:sz w:val="24"/>
              <w:szCs w:val="24"/>
            </w:rPr>
            <w:fldChar w:fldCharType="begin"/>
          </w:r>
          <w:r w:rsidR="007C5B44">
            <w:rPr>
              <w:rFonts w:ascii="Times New Roman" w:hAnsi="Times New Roman" w:cs="Times New Roman"/>
              <w:sz w:val="24"/>
              <w:szCs w:val="24"/>
            </w:rPr>
            <w:instrText xml:space="preserve"> CITATION Ver07 \l 3082 </w:instrText>
          </w:r>
          <w:r w:rsidR="007C5B44">
            <w:rPr>
              <w:rFonts w:ascii="Times New Roman" w:hAnsi="Times New Roman" w:cs="Times New Roman"/>
              <w:sz w:val="24"/>
              <w:szCs w:val="24"/>
            </w:rPr>
            <w:fldChar w:fldCharType="separate"/>
          </w:r>
          <w:r w:rsidR="007C5B44">
            <w:rPr>
              <w:rFonts w:ascii="Times New Roman" w:hAnsi="Times New Roman" w:cs="Times New Roman"/>
              <w:noProof/>
              <w:sz w:val="24"/>
              <w:szCs w:val="24"/>
            </w:rPr>
            <w:t xml:space="preserve"> </w:t>
          </w:r>
          <w:r w:rsidR="007C5B44" w:rsidRPr="007C5B44">
            <w:rPr>
              <w:rFonts w:ascii="Times New Roman" w:hAnsi="Times New Roman" w:cs="Times New Roman"/>
              <w:noProof/>
              <w:sz w:val="24"/>
              <w:szCs w:val="24"/>
            </w:rPr>
            <w:t>(Figueroa, 2007)</w:t>
          </w:r>
          <w:r w:rsidR="007C5B44">
            <w:rPr>
              <w:rFonts w:ascii="Times New Roman" w:hAnsi="Times New Roman" w:cs="Times New Roman"/>
              <w:sz w:val="24"/>
              <w:szCs w:val="24"/>
            </w:rPr>
            <w:fldChar w:fldCharType="end"/>
          </w:r>
        </w:sdtContent>
      </w:sdt>
    </w:p>
    <w:p w:rsidR="006F16C4" w:rsidRPr="006F16C4" w:rsidRDefault="006F16C4" w:rsidP="006F16C4">
      <w:pPr>
        <w:spacing w:line="360" w:lineRule="auto"/>
        <w:jc w:val="both"/>
        <w:rPr>
          <w:rFonts w:ascii="Times New Roman" w:hAnsi="Times New Roman" w:cs="Times New Roman"/>
          <w:sz w:val="24"/>
          <w:szCs w:val="24"/>
        </w:rPr>
      </w:pPr>
    </w:p>
    <w:p w:rsidR="006F16C4"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NIIF 2 Pagos basados en acciones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b/>
          <w:bCs/>
          <w:sz w:val="24"/>
          <w:szCs w:val="24"/>
        </w:rPr>
        <w:t>Objetivo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Establecer el tratamiento contable de una operación en la que una sociedad reciba o adquiera bienes o servicios ya sea en contraprestación por sus instrumentos de patrimonio o mediante la asunción de pasivos de importe equivalente al precio de las acciones de la sociedad o a otros instrumentos de patrimonio de la sociedad.</w:t>
      </w:r>
      <w:sdt>
        <w:sdtPr>
          <w:rPr>
            <w:rFonts w:ascii="Times New Roman" w:hAnsi="Times New Roman" w:cs="Times New Roman"/>
            <w:sz w:val="24"/>
            <w:szCs w:val="24"/>
          </w:rPr>
          <w:id w:val="-605876995"/>
          <w:citation/>
        </w:sdtPr>
        <w:sdtEndPr/>
        <w:sdtContent>
          <w:r w:rsidR="00E57CB8">
            <w:rPr>
              <w:rFonts w:ascii="Times New Roman" w:hAnsi="Times New Roman" w:cs="Times New Roman"/>
              <w:sz w:val="24"/>
              <w:szCs w:val="24"/>
            </w:rPr>
            <w:fldChar w:fldCharType="begin"/>
          </w:r>
          <w:r w:rsidR="00E57CB8">
            <w:rPr>
              <w:rFonts w:ascii="Times New Roman" w:hAnsi="Times New Roman" w:cs="Times New Roman"/>
              <w:sz w:val="24"/>
              <w:szCs w:val="24"/>
            </w:rPr>
            <w:instrText xml:space="preserve"> CITATION Ver07 \l 3082 </w:instrText>
          </w:r>
          <w:r w:rsidR="00E57CB8">
            <w:rPr>
              <w:rFonts w:ascii="Times New Roman" w:hAnsi="Times New Roman" w:cs="Times New Roman"/>
              <w:sz w:val="24"/>
              <w:szCs w:val="24"/>
            </w:rPr>
            <w:fldChar w:fldCharType="separate"/>
          </w:r>
          <w:r w:rsidR="00E57CB8">
            <w:rPr>
              <w:rFonts w:ascii="Times New Roman" w:hAnsi="Times New Roman" w:cs="Times New Roman"/>
              <w:noProof/>
              <w:sz w:val="24"/>
              <w:szCs w:val="24"/>
            </w:rPr>
            <w:t xml:space="preserve"> </w:t>
          </w:r>
          <w:r w:rsidR="00E57CB8" w:rsidRPr="00E57CB8">
            <w:rPr>
              <w:rFonts w:ascii="Times New Roman" w:hAnsi="Times New Roman" w:cs="Times New Roman"/>
              <w:noProof/>
              <w:sz w:val="24"/>
              <w:szCs w:val="24"/>
            </w:rPr>
            <w:t>(Figueroa, 2007)</w:t>
          </w:r>
          <w:r w:rsidR="00E57CB8">
            <w:rPr>
              <w:rFonts w:ascii="Times New Roman" w:hAnsi="Times New Roman" w:cs="Times New Roman"/>
              <w:sz w:val="24"/>
              <w:szCs w:val="24"/>
            </w:rPr>
            <w:fldChar w:fldCharType="end"/>
          </w:r>
        </w:sdtContent>
      </w:sdt>
    </w:p>
    <w:p w:rsidR="00A9034B" w:rsidRPr="006F16C4" w:rsidRDefault="00260B70" w:rsidP="006F16C4">
      <w:pPr>
        <w:spacing w:line="360" w:lineRule="auto"/>
        <w:jc w:val="both"/>
        <w:rPr>
          <w:rFonts w:ascii="Times New Roman" w:hAnsi="Times New Roman" w:cs="Times New Roman"/>
          <w:sz w:val="24"/>
          <w:szCs w:val="24"/>
        </w:rPr>
      </w:pPr>
      <w:r w:rsidRPr="006F16C4">
        <w:rPr>
          <w:rFonts w:ascii="Times New Roman" w:hAnsi="Times New Roman" w:cs="Times New Roman"/>
          <w:b/>
          <w:bCs/>
          <w:sz w:val="24"/>
          <w:szCs w:val="24"/>
        </w:rPr>
        <w:t xml:space="preserve">Alcance </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Todas las operaciones de pago en acciones deben registrarse en los estados financieros  a valor razonable.</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Se reconoce un gasto cuando se consumen los bienes o servicios recibidos.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NIIF 2 se aplica tanto a las sociedades de oferta pública como a las que no cotizan en Bolsa. Sin embargo, si el valor razonable de los instrumentos de patrimonio de entidades que no cotizan sus valores negociables no puede medirse de forma fiable, se utilizarán mediciones del valor intrínseco.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lastRenderedPageBreak/>
        <w:t>En principio, las operaciones en las que se reciben bienes o servicios de no empleados como contrapartida de instrumentos de patrimonio de la sociedad deben registrarse al valor razonable de los bienes o servicios recibidos. Sólo si el valor razonable de los bienes o servicios no puede ser calculado de forma fiable se utilizará el valor razonable de los instrumentos de patrimonio entregados.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En el caso de operaciones con empleados y otras personas que presten servicios similares, la sociedad calcula el valor razonable de los instrumentos de patrimonio entregados, ya que normalmente no es posible estimar de forma fiable el valor razonable de los servicios recibidos.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En el caso de operaciones registradas al valor razonable de los instrumentos de patrimonio entregados (como las operaciones con empleados), el valor razonable deberá calcularse en la fecha de concesión.</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En el caso de operaciones registradas al valor razonable de los bienes o servicios recibidos, el valor razonable deberá calcularse en la fecha de recepción de dichos bienes o servicios.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En el caso de bienes o servicios medidos por referencia al valor razonable de los instrumentos de patrimonio entregados, la NIIF 2 especifica que, en general, no se tendrán en cuenta las condiciones de </w:t>
      </w:r>
      <w:proofErr w:type="spellStart"/>
      <w:r w:rsidRPr="006F16C4">
        <w:rPr>
          <w:rFonts w:ascii="Times New Roman" w:hAnsi="Times New Roman" w:cs="Times New Roman"/>
          <w:sz w:val="24"/>
          <w:szCs w:val="24"/>
        </w:rPr>
        <w:t>devengamiento</w:t>
      </w:r>
      <w:proofErr w:type="spellEnd"/>
      <w:r w:rsidRPr="006F16C4">
        <w:rPr>
          <w:rFonts w:ascii="Times New Roman" w:hAnsi="Times New Roman" w:cs="Times New Roman"/>
          <w:sz w:val="24"/>
          <w:szCs w:val="24"/>
        </w:rPr>
        <w:t xml:space="preserve"> de la concesión, a excepción de las condiciones de mercado, para el cálculo del valor razonable de las acciones u opciones en la fecha de medición pertinente (según se ha especificado anteriormente). En lugar de ello, las condiciones de </w:t>
      </w:r>
      <w:proofErr w:type="spellStart"/>
      <w:r w:rsidRPr="006F16C4">
        <w:rPr>
          <w:rFonts w:ascii="Times New Roman" w:hAnsi="Times New Roman" w:cs="Times New Roman"/>
          <w:sz w:val="24"/>
          <w:szCs w:val="24"/>
        </w:rPr>
        <w:t>devengamiento</w:t>
      </w:r>
      <w:proofErr w:type="spellEnd"/>
      <w:r w:rsidRPr="006F16C4">
        <w:rPr>
          <w:rFonts w:ascii="Times New Roman" w:hAnsi="Times New Roman" w:cs="Times New Roman"/>
          <w:sz w:val="24"/>
          <w:szCs w:val="24"/>
        </w:rPr>
        <w:t xml:space="preserve"> de la concesión se tendrán en cuenta mediante el ajuste del número de instrumentos de patrimonio incluidos en la medición del importe de la operación de forma que, en última instancia, el importe reconocido para los bienes o servicios recibidos a cambio de los instrumentos de patrimonio entregados se base en el número de instrumentos de patrimonio que finalmente se adjudiquen.</w:t>
      </w:r>
    </w:p>
    <w:p w:rsidR="00A9034B" w:rsidRPr="006F16C4" w:rsidRDefault="007C5B44"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 </w:t>
      </w:r>
      <w:r w:rsidR="00A9034B" w:rsidRPr="006F16C4">
        <w:rPr>
          <w:rFonts w:ascii="Times New Roman" w:hAnsi="Times New Roman" w:cs="Times New Roman"/>
          <w:sz w:val="24"/>
          <w:szCs w:val="24"/>
        </w:rPr>
        <w:t xml:space="preserve">El valor razonable de los instrumentos de patrimonio entregados se basa en precios de mercado, si estuvieran disponibles, y tiene en cuenta las condiciones en las que se han concedido dichos instrumentos de patrimonio. A falta de precios de mercado, el valor razonable se calculará por medio de un modelo de valuación que permita estimar cuál habría sido el precio de dichos instrumentos de patrimonio en la fecha de medición en una operación realizada atendiendo al principio de libre concurrencia entre un </w:t>
      </w:r>
      <w:r w:rsidR="00A9034B" w:rsidRPr="006F16C4">
        <w:rPr>
          <w:rFonts w:ascii="Times New Roman" w:hAnsi="Times New Roman" w:cs="Times New Roman"/>
          <w:sz w:val="24"/>
          <w:szCs w:val="24"/>
        </w:rPr>
        <w:lastRenderedPageBreak/>
        <w:t xml:space="preserve">comprador y un vendedor interesada y debidamente informada. La NIIF 2 no </w:t>
      </w:r>
      <w:proofErr w:type="gramStart"/>
      <w:r w:rsidR="00A9034B" w:rsidRPr="006F16C4">
        <w:rPr>
          <w:rFonts w:ascii="Times New Roman" w:hAnsi="Times New Roman" w:cs="Times New Roman"/>
          <w:sz w:val="24"/>
          <w:szCs w:val="24"/>
        </w:rPr>
        <w:t>especifica</w:t>
      </w:r>
      <w:proofErr w:type="gramEnd"/>
      <w:r w:rsidR="00A9034B" w:rsidRPr="006F16C4">
        <w:rPr>
          <w:rFonts w:ascii="Times New Roman" w:hAnsi="Times New Roman" w:cs="Times New Roman"/>
          <w:sz w:val="24"/>
          <w:szCs w:val="24"/>
        </w:rPr>
        <w:t xml:space="preserve"> qué modelo de valuación concreto debe ser utilizado. </w:t>
      </w:r>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NIIF 3 Combinaciones de negocios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b/>
          <w:bCs/>
          <w:sz w:val="24"/>
          <w:szCs w:val="24"/>
        </w:rPr>
        <w:t>Principio fundamental</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El comprador de una empresa reconoce los activos adquiridos y los pasivos asumidos a su valor razonable en la fecha de adquisición y revela información que permite a los usuarios evaluar la naturaleza y las consecuencias financieras de la adquisición.</w:t>
      </w:r>
      <w:sdt>
        <w:sdtPr>
          <w:rPr>
            <w:rFonts w:ascii="Times New Roman" w:hAnsi="Times New Roman" w:cs="Times New Roman"/>
            <w:sz w:val="24"/>
            <w:szCs w:val="24"/>
          </w:rPr>
          <w:id w:val="592212161"/>
          <w:citation/>
        </w:sdtPr>
        <w:sdtEndPr/>
        <w:sdtContent>
          <w:r w:rsidR="00E57CB8">
            <w:rPr>
              <w:rFonts w:ascii="Times New Roman" w:hAnsi="Times New Roman" w:cs="Times New Roman"/>
              <w:sz w:val="24"/>
              <w:szCs w:val="24"/>
            </w:rPr>
            <w:fldChar w:fldCharType="begin"/>
          </w:r>
          <w:r w:rsidR="00E57CB8">
            <w:rPr>
              <w:rFonts w:ascii="Times New Roman" w:hAnsi="Times New Roman" w:cs="Times New Roman"/>
              <w:sz w:val="24"/>
              <w:szCs w:val="24"/>
            </w:rPr>
            <w:instrText xml:space="preserve"> CITATION Ver07 \l 3082 </w:instrText>
          </w:r>
          <w:r w:rsidR="00E57CB8">
            <w:rPr>
              <w:rFonts w:ascii="Times New Roman" w:hAnsi="Times New Roman" w:cs="Times New Roman"/>
              <w:sz w:val="24"/>
              <w:szCs w:val="24"/>
            </w:rPr>
            <w:fldChar w:fldCharType="separate"/>
          </w:r>
          <w:r w:rsidR="00E57CB8">
            <w:rPr>
              <w:rFonts w:ascii="Times New Roman" w:hAnsi="Times New Roman" w:cs="Times New Roman"/>
              <w:noProof/>
              <w:sz w:val="24"/>
              <w:szCs w:val="24"/>
            </w:rPr>
            <w:t xml:space="preserve"> </w:t>
          </w:r>
          <w:r w:rsidR="00E57CB8" w:rsidRPr="00E57CB8">
            <w:rPr>
              <w:rFonts w:ascii="Times New Roman" w:hAnsi="Times New Roman" w:cs="Times New Roman"/>
              <w:noProof/>
              <w:sz w:val="24"/>
              <w:szCs w:val="24"/>
            </w:rPr>
            <w:t>(Figueroa, 2007)</w:t>
          </w:r>
          <w:r w:rsidR="00E57CB8">
            <w:rPr>
              <w:rFonts w:ascii="Times New Roman" w:hAnsi="Times New Roman" w:cs="Times New Roman"/>
              <w:sz w:val="24"/>
              <w:szCs w:val="24"/>
            </w:rPr>
            <w:fldChar w:fldCharType="end"/>
          </w:r>
        </w:sdtContent>
      </w:sdt>
    </w:p>
    <w:p w:rsidR="00A9034B" w:rsidRPr="006F16C4" w:rsidRDefault="00260B70" w:rsidP="006F16C4">
      <w:pPr>
        <w:spacing w:line="360" w:lineRule="auto"/>
        <w:jc w:val="both"/>
        <w:rPr>
          <w:rFonts w:ascii="Times New Roman" w:hAnsi="Times New Roman" w:cs="Times New Roman"/>
          <w:b/>
          <w:sz w:val="24"/>
          <w:szCs w:val="24"/>
        </w:rPr>
      </w:pPr>
      <w:r w:rsidRPr="006F16C4">
        <w:rPr>
          <w:rFonts w:ascii="Times New Roman" w:hAnsi="Times New Roman" w:cs="Times New Roman"/>
          <w:b/>
          <w:sz w:val="24"/>
          <w:szCs w:val="24"/>
        </w:rPr>
        <w:t xml:space="preserve">Alcance </w:t>
      </w:r>
    </w:p>
    <w:p w:rsidR="00A9034B" w:rsidRPr="006F16C4" w:rsidRDefault="00A9034B" w:rsidP="006F16C4">
      <w:pPr>
        <w:numPr>
          <w:ilvl w:val="0"/>
          <w:numId w:val="3"/>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Una combinación de negocios es una operación o un hecho por el que un comprador adquiere el control de una o más empresas. Una empresa se define como un conjunto integrado de actividades y activos susceptibles de ser dirigidos y gestionados con el objetivo de proporcionar una rentabilidad directa a los inversores o a otros dueños, miembros o participantes.</w:t>
      </w:r>
    </w:p>
    <w:p w:rsidR="00A9034B" w:rsidRPr="006F16C4" w:rsidRDefault="00A9034B" w:rsidP="006F16C4">
      <w:pPr>
        <w:numPr>
          <w:ilvl w:val="0"/>
          <w:numId w:val="3"/>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NIIF 3 no es aplicable a la constitución de </w:t>
      </w:r>
      <w:proofErr w:type="spellStart"/>
      <w:r w:rsidRPr="006F16C4">
        <w:rPr>
          <w:rFonts w:ascii="Times New Roman" w:hAnsi="Times New Roman" w:cs="Times New Roman"/>
          <w:i/>
          <w:iCs/>
          <w:sz w:val="24"/>
          <w:szCs w:val="24"/>
        </w:rPr>
        <w:t>joint</w:t>
      </w:r>
      <w:proofErr w:type="spellEnd"/>
      <w:r w:rsidRPr="006F16C4">
        <w:rPr>
          <w:rFonts w:ascii="Times New Roman" w:hAnsi="Times New Roman" w:cs="Times New Roman"/>
          <w:i/>
          <w:iCs/>
          <w:sz w:val="24"/>
          <w:szCs w:val="24"/>
        </w:rPr>
        <w:t xml:space="preserve"> </w:t>
      </w:r>
      <w:proofErr w:type="spellStart"/>
      <w:r w:rsidRPr="006F16C4">
        <w:rPr>
          <w:rFonts w:ascii="Times New Roman" w:hAnsi="Times New Roman" w:cs="Times New Roman"/>
          <w:i/>
          <w:iCs/>
          <w:sz w:val="24"/>
          <w:szCs w:val="24"/>
        </w:rPr>
        <w:t>ventures</w:t>
      </w:r>
      <w:proofErr w:type="spellEnd"/>
      <w:r w:rsidRPr="006F16C4">
        <w:rPr>
          <w:rFonts w:ascii="Times New Roman" w:hAnsi="Times New Roman" w:cs="Times New Roman"/>
          <w:sz w:val="24"/>
          <w:szCs w:val="24"/>
        </w:rPr>
        <w:t>, combinaciones de entidades o empresas bajo control común, ni a la adquisición de un activo o grupo de activos que no constituyan un negocio.</w:t>
      </w:r>
    </w:p>
    <w:p w:rsidR="00A9034B" w:rsidRPr="006F16C4" w:rsidRDefault="00A9034B" w:rsidP="006F16C4">
      <w:pPr>
        <w:numPr>
          <w:ilvl w:val="0"/>
          <w:numId w:val="3"/>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El método de adquisición se utiliza para todas las combinaciones de negocios.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pasos para la adquisición son:</w:t>
      </w:r>
    </w:p>
    <w:p w:rsidR="00A9034B" w:rsidRPr="006F16C4" w:rsidRDefault="00A9034B" w:rsidP="006F16C4">
      <w:pPr>
        <w:numPr>
          <w:ilvl w:val="0"/>
          <w:numId w:val="4"/>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Identificación de la entidad adquirente.</w:t>
      </w:r>
    </w:p>
    <w:p w:rsidR="00A9034B" w:rsidRPr="006F16C4" w:rsidRDefault="00A9034B" w:rsidP="006F16C4">
      <w:pPr>
        <w:numPr>
          <w:ilvl w:val="0"/>
          <w:numId w:val="4"/>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Determinación de la fecha de adquisición.</w:t>
      </w:r>
    </w:p>
    <w:p w:rsidR="00A9034B" w:rsidRPr="006F16C4" w:rsidRDefault="00A9034B" w:rsidP="006F16C4">
      <w:pPr>
        <w:numPr>
          <w:ilvl w:val="0"/>
          <w:numId w:val="4"/>
        </w:num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Reconocimiento y medición de los activos adquiridos y los pasivos asumidos que sean identificables y de cualquier interés minoritario en la entidad adquirida.</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Los activos y pasivos se miden a su valor razonable en la fecha de adquisición.</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Si la anterior diferencia resulta negativa, la plusvalía (llave de negocio) resultante se reconoce en resultados como una adquisición en términos ventajosos.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lastRenderedPageBreak/>
        <w:t xml:space="preserve">En las combinaciones de negocio realizadas por etapas, si la adquirente aumenta una participación existente con el fin de conseguir el control de la adquirida, la participación previamente mantenida debe volver a </w:t>
      </w:r>
      <w:proofErr w:type="spellStart"/>
      <w:r w:rsidRPr="006F16C4">
        <w:rPr>
          <w:rFonts w:ascii="Times New Roman" w:hAnsi="Times New Roman" w:cs="Times New Roman"/>
          <w:sz w:val="24"/>
          <w:szCs w:val="24"/>
        </w:rPr>
        <w:t>valuarse</w:t>
      </w:r>
      <w:proofErr w:type="spellEnd"/>
      <w:r w:rsidRPr="006F16C4">
        <w:rPr>
          <w:rFonts w:ascii="Times New Roman" w:hAnsi="Times New Roman" w:cs="Times New Roman"/>
          <w:sz w:val="24"/>
          <w:szCs w:val="24"/>
        </w:rPr>
        <w:t xml:space="preserve"> a su valor razonable en la fecha de adquisición, y reconocerse cualquier pérdida o ganancia resultante en el estado de resultados.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Si la contabilización inicial de una combinación de negocios puede determinarse sólo provisionalmente al cierre del primer período para el que haya que presentar información financiera, la combinación se reconocerá utilizando valores provisionales. Se permiten ajustes a los valores provisionales en el plazo de un año en relación con hechos y circunstancias que existiesen en la fecha de adquisición. No se permiten ajustes transcurrido un año, excepto para corregir un error, de conformidad con la NIC 8.</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contraprestación por la adquisición incluye el valor razonable en la fecha de adquisición de contraprestaciones contingentes. Los cambios en la contraprestación contingente resultantes de hechos posteriores a la fecha de adquisición se reconocen generalmente en resultados.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Además, la NIIF 3 ofrece orientación sobre algunos aspectos específicos de las combinaciones de negocios, entre otros: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Combinaciones de negocios realizadas sin transferencia de contraprestación.</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Adquisiciones inversas.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Identificación de activos intangibles adquiridos.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Relaciones pre-existentes entre la adquirente y la adquirida (p. ej., derechos readquiridos).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La re-evaluación de los acuerdos contractuales de la entidad adquirida en la fecha de adquisición.</w:t>
      </w:r>
    </w:p>
    <w:p w:rsidR="00E1345F" w:rsidRDefault="00E1345F" w:rsidP="006F16C4">
      <w:pPr>
        <w:spacing w:line="360" w:lineRule="auto"/>
        <w:jc w:val="both"/>
        <w:rPr>
          <w:rFonts w:ascii="Times New Roman" w:hAnsi="Times New Roman" w:cs="Times New Roman"/>
          <w:sz w:val="24"/>
          <w:szCs w:val="24"/>
        </w:rPr>
      </w:pPr>
    </w:p>
    <w:p w:rsidR="00687C11" w:rsidRDefault="00687C11" w:rsidP="006F16C4">
      <w:pPr>
        <w:spacing w:line="360" w:lineRule="auto"/>
        <w:jc w:val="both"/>
        <w:rPr>
          <w:rFonts w:ascii="Times New Roman" w:hAnsi="Times New Roman" w:cs="Times New Roman"/>
          <w:sz w:val="24"/>
          <w:szCs w:val="24"/>
        </w:rPr>
      </w:pPr>
    </w:p>
    <w:p w:rsidR="00687C11" w:rsidRPr="006F16C4" w:rsidRDefault="00687C11" w:rsidP="006F16C4">
      <w:pPr>
        <w:spacing w:line="360" w:lineRule="auto"/>
        <w:jc w:val="both"/>
        <w:rPr>
          <w:rFonts w:ascii="Times New Roman" w:hAnsi="Times New Roman" w:cs="Times New Roman"/>
          <w:sz w:val="24"/>
          <w:szCs w:val="24"/>
        </w:rPr>
      </w:pPr>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lastRenderedPageBreak/>
        <w:t>NIIF 4 Contratos de seguro</w:t>
      </w:r>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Objetivo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Establecer los requisitos de información financiera aplicables a contratos de seguro hasta que el IASB complete la segunda fase de su proyecto sobre contratos de seguro.</w:t>
      </w:r>
      <w:sdt>
        <w:sdtPr>
          <w:rPr>
            <w:rFonts w:ascii="Times New Roman" w:hAnsi="Times New Roman" w:cs="Times New Roman"/>
            <w:sz w:val="24"/>
            <w:szCs w:val="24"/>
          </w:rPr>
          <w:id w:val="1400249388"/>
          <w:citation/>
        </w:sdtPr>
        <w:sdtEndPr/>
        <w:sdtContent>
          <w:r w:rsidR="00E57CB8">
            <w:rPr>
              <w:rFonts w:ascii="Times New Roman" w:hAnsi="Times New Roman" w:cs="Times New Roman"/>
              <w:sz w:val="24"/>
              <w:szCs w:val="24"/>
            </w:rPr>
            <w:fldChar w:fldCharType="begin"/>
          </w:r>
          <w:r w:rsidR="00E57CB8">
            <w:rPr>
              <w:rFonts w:ascii="Times New Roman" w:hAnsi="Times New Roman" w:cs="Times New Roman"/>
              <w:sz w:val="24"/>
              <w:szCs w:val="24"/>
            </w:rPr>
            <w:instrText xml:space="preserve"> CITATION Ver07 \l 3082 </w:instrText>
          </w:r>
          <w:r w:rsidR="00E57CB8">
            <w:rPr>
              <w:rFonts w:ascii="Times New Roman" w:hAnsi="Times New Roman" w:cs="Times New Roman"/>
              <w:sz w:val="24"/>
              <w:szCs w:val="24"/>
            </w:rPr>
            <w:fldChar w:fldCharType="separate"/>
          </w:r>
          <w:r w:rsidR="00E57CB8">
            <w:rPr>
              <w:rFonts w:ascii="Times New Roman" w:hAnsi="Times New Roman" w:cs="Times New Roman"/>
              <w:noProof/>
              <w:sz w:val="24"/>
              <w:szCs w:val="24"/>
            </w:rPr>
            <w:t xml:space="preserve"> </w:t>
          </w:r>
          <w:r w:rsidR="00E57CB8" w:rsidRPr="00E57CB8">
            <w:rPr>
              <w:rFonts w:ascii="Times New Roman" w:hAnsi="Times New Roman" w:cs="Times New Roman"/>
              <w:noProof/>
              <w:sz w:val="24"/>
              <w:szCs w:val="24"/>
            </w:rPr>
            <w:t>(Figueroa, 2007)</w:t>
          </w:r>
          <w:r w:rsidR="00E57CB8">
            <w:rPr>
              <w:rFonts w:ascii="Times New Roman" w:hAnsi="Times New Roman" w:cs="Times New Roman"/>
              <w:sz w:val="24"/>
              <w:szCs w:val="24"/>
            </w:rPr>
            <w:fldChar w:fldCharType="end"/>
          </w:r>
        </w:sdtContent>
      </w:sdt>
    </w:p>
    <w:p w:rsidR="00A9034B" w:rsidRPr="006F16C4" w:rsidRDefault="00260B70"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 xml:space="preserve">Alcance </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Las aseguradoras están exentas de la aplicación del Marco del IASB y de determinadas NIIF vigentes.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Las reservas para catástrofes y las provisiones de estabilización quedan prohibidas.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Se exige una prueba de la adecuación de los pasivos de seguro reconocidos y una prueba de deterioro de valor para los activos de reaseguro.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pasivos de seguro no pueden compensarse con los correspondientes activos de reaseguro.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cambios de políticas contables están restringidos.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Se exigen nuevos aspectos de exposición.</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contratos de garantía financiera recaen dentro del ámbito de aplicación de la NIC 39, a menos que el emisor hubiera manifestado previamente (antes de la adopción inicial de la NIIF 4) y de forma explícita que considera dichos contratos como contratos de seguro y haya utilizado el método de contabilización aplicable a los contratos de seguro. En tal caso, el emisor puede optar por aplicar la NIC 39 o la NIIF 4.</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w:t>
      </w:r>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NIIF 5 Activos no corrientes mantenidos para la venta y operaciones discontinuadas</w:t>
      </w:r>
    </w:p>
    <w:p w:rsidR="00A9034B" w:rsidRPr="006F16C4" w:rsidRDefault="00A9034B" w:rsidP="006F16C4">
      <w:pPr>
        <w:spacing w:line="360" w:lineRule="auto"/>
        <w:jc w:val="both"/>
        <w:rPr>
          <w:rFonts w:ascii="Times New Roman" w:hAnsi="Times New Roman" w:cs="Times New Roman"/>
          <w:b/>
          <w:sz w:val="24"/>
          <w:szCs w:val="24"/>
        </w:rPr>
      </w:pPr>
      <w:r w:rsidRPr="006F16C4">
        <w:rPr>
          <w:rFonts w:ascii="Times New Roman" w:hAnsi="Times New Roman" w:cs="Times New Roman"/>
          <w:b/>
          <w:sz w:val="24"/>
          <w:szCs w:val="24"/>
        </w:rPr>
        <w:t> </w:t>
      </w:r>
      <w:r w:rsidR="006F16C4" w:rsidRPr="006F16C4">
        <w:rPr>
          <w:rFonts w:ascii="Times New Roman" w:hAnsi="Times New Roman" w:cs="Times New Roman"/>
          <w:b/>
          <w:sz w:val="24"/>
          <w:szCs w:val="24"/>
        </w:rPr>
        <w:t xml:space="preserve">Objetivo </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Establecer el tratamiento contable de los activos no corrientes mantenidos para la venta y los requisitos de presentación e información de operaciones discontinuadas.</w:t>
      </w:r>
    </w:p>
    <w:p w:rsidR="00A9034B" w:rsidRPr="006F16C4" w:rsidRDefault="00260B70" w:rsidP="006F16C4">
      <w:pPr>
        <w:spacing w:line="360" w:lineRule="auto"/>
        <w:jc w:val="both"/>
        <w:rPr>
          <w:rFonts w:ascii="Times New Roman" w:hAnsi="Times New Roman" w:cs="Times New Roman"/>
          <w:sz w:val="24"/>
          <w:szCs w:val="24"/>
        </w:rPr>
      </w:pPr>
      <w:r w:rsidRPr="006F16C4">
        <w:rPr>
          <w:rFonts w:ascii="Times New Roman" w:hAnsi="Times New Roman" w:cs="Times New Roman"/>
          <w:b/>
          <w:bCs/>
          <w:sz w:val="24"/>
          <w:szCs w:val="24"/>
        </w:rPr>
        <w:lastRenderedPageBreak/>
        <w:t>Alcance</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activos no corrientes o grupos de enajenación mantenidos para la venta se miden al menor entre el importe en libros o al valor razonable menos gastos de venta.</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Los activos no corrientes mantenidos para la venta no se amortizan.</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Un activo no corriente clasificado como mantenido para la venta, y los activos y pasivos que componen un grupo de enajenación mantenido para la venta, se presentan por separado en el estado de situación financiera.</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Una operación discontinuada es un componente de una entidad que o bien ha sido enajenado, o bien se ha clasificado como mantenido para la venta, y (a) representa una línea de negocio o un área geográfica, que es significativa y puede considerarse separada del resto, (b) forma parte de un plan individual y coordinado para enajenar o disponer por otra vía de una línea de negocio o de un área geográfica de operaciones que sea significativa y pueda considerarse separada del resto, o (c) es una entidad controlada adquirida exclusivamente con la finalidad de revenderla.</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entidad revelará en el estado del resultado integral un único importe que comprenda el total del resultado de las operaciones discontinuadas durante el período y el resultado de la enajenación de las mismas (o la nueva valorización de los activos y pasivos de las operaciones interrumpidas considerados como mantenidos para la venta). Por tanto, el estado del resultado integral constará de dos apartados: operaciones que continúan y operaciones descontinuadas.</w:t>
      </w:r>
      <w:sdt>
        <w:sdtPr>
          <w:rPr>
            <w:rFonts w:ascii="Times New Roman" w:hAnsi="Times New Roman" w:cs="Times New Roman"/>
            <w:sz w:val="24"/>
            <w:szCs w:val="24"/>
          </w:rPr>
          <w:id w:val="1238449622"/>
          <w:citation/>
        </w:sdtPr>
        <w:sdtEndPr/>
        <w:sdtContent>
          <w:r w:rsidR="00E57CB8">
            <w:rPr>
              <w:rFonts w:ascii="Times New Roman" w:hAnsi="Times New Roman" w:cs="Times New Roman"/>
              <w:sz w:val="24"/>
              <w:szCs w:val="24"/>
            </w:rPr>
            <w:fldChar w:fldCharType="begin"/>
          </w:r>
          <w:r w:rsidR="00E57CB8">
            <w:rPr>
              <w:rFonts w:ascii="Times New Roman" w:hAnsi="Times New Roman" w:cs="Times New Roman"/>
              <w:sz w:val="24"/>
              <w:szCs w:val="24"/>
            </w:rPr>
            <w:instrText xml:space="preserve"> CITATION Ver07 \l 3082 </w:instrText>
          </w:r>
          <w:r w:rsidR="00E57CB8">
            <w:rPr>
              <w:rFonts w:ascii="Times New Roman" w:hAnsi="Times New Roman" w:cs="Times New Roman"/>
              <w:sz w:val="24"/>
              <w:szCs w:val="24"/>
            </w:rPr>
            <w:fldChar w:fldCharType="separate"/>
          </w:r>
          <w:r w:rsidR="00E57CB8">
            <w:rPr>
              <w:rFonts w:ascii="Times New Roman" w:hAnsi="Times New Roman" w:cs="Times New Roman"/>
              <w:noProof/>
              <w:sz w:val="24"/>
              <w:szCs w:val="24"/>
            </w:rPr>
            <w:t xml:space="preserve"> </w:t>
          </w:r>
          <w:r w:rsidR="00E57CB8" w:rsidRPr="00E57CB8">
            <w:rPr>
              <w:rFonts w:ascii="Times New Roman" w:hAnsi="Times New Roman" w:cs="Times New Roman"/>
              <w:noProof/>
              <w:sz w:val="24"/>
              <w:szCs w:val="24"/>
            </w:rPr>
            <w:t>(Figueroa, 2007)</w:t>
          </w:r>
          <w:r w:rsidR="00E57CB8">
            <w:rPr>
              <w:rFonts w:ascii="Times New Roman" w:hAnsi="Times New Roman" w:cs="Times New Roman"/>
              <w:sz w:val="24"/>
              <w:szCs w:val="24"/>
            </w:rPr>
            <w:fldChar w:fldCharType="end"/>
          </w:r>
        </w:sdtContent>
      </w:sdt>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NIIF 6 Exploración y evaluación de recursos minerales</w:t>
      </w:r>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Objetivo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Establecer los requisitos de presentación de información financiera aplicables a la exploración y evaluación de recursos minerales hasta que el IASB concluya un proyecto global en esta área.</w:t>
      </w:r>
    </w:p>
    <w:p w:rsidR="00A9034B" w:rsidRPr="006F16C4" w:rsidRDefault="00260B70"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 xml:space="preserve">Alcance </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La NIIF 6 no requiere ni prohíbe políticas contables específicas para el reconocimiento y la medición de los activos de exploración y evaluación. Las sociedades podrán seguir aplicando sus principios contables vigentes a estos activos siempre y cuando cumplan </w:t>
      </w:r>
      <w:r w:rsidRPr="006F16C4">
        <w:rPr>
          <w:rFonts w:ascii="Times New Roman" w:hAnsi="Times New Roman" w:cs="Times New Roman"/>
          <w:sz w:val="24"/>
          <w:szCs w:val="24"/>
        </w:rPr>
        <w:lastRenderedPageBreak/>
        <w:t>los requisitos del apartado 10 de la NIC 8, es decir, que se traduzcan en información fiable y relevante para toma de decisiones económicas por parte de los usuarios de la misma.</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Norma permite una exención temporal de la aplicación de los apartados 11 y 12 de la NIC 8, que especifican una jerarquía de fuentes de NIIF y PCGA en caso de que no exista una norma específica.</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Exige una prueba del deterioro de valor cuando existen indicios de que el importe en libros de los activos de exploración y evaluación supera su valor recuperable. Asimismo, se comprueba si existe deterioro del valor en los activos de exploración y evaluación antes de su reclasificación como activos de desarrollo.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Permite comprobar el deterioro del valor en un nivel superior a la “unidad generadora de efectivo” de la NIC 36, aunque una vez identificado mide el deterioro de conformidad con la NIC 36.</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Requiere una exposición de información que identifique y explique los importes derivados de las actividades de exploración y evaluación de recursos minerales.</w:t>
      </w:r>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 </w:t>
      </w:r>
    </w:p>
    <w:p w:rsidR="00A9034B" w:rsidRPr="006F16C4" w:rsidRDefault="00A9034B" w:rsidP="006F16C4">
      <w:pPr>
        <w:spacing w:line="360" w:lineRule="auto"/>
        <w:jc w:val="both"/>
        <w:rPr>
          <w:rFonts w:ascii="Times New Roman" w:hAnsi="Times New Roman" w:cs="Times New Roman"/>
          <w:b/>
          <w:bCs/>
          <w:sz w:val="24"/>
          <w:szCs w:val="24"/>
        </w:rPr>
      </w:pPr>
      <w:r w:rsidRPr="006F16C4">
        <w:rPr>
          <w:rFonts w:ascii="Times New Roman" w:hAnsi="Times New Roman" w:cs="Times New Roman"/>
          <w:b/>
          <w:bCs/>
          <w:sz w:val="24"/>
          <w:szCs w:val="24"/>
        </w:rPr>
        <w:t>NIIF 7 Instrumentos financieros: Información a revelar</w:t>
      </w:r>
      <w:r w:rsidRPr="006F16C4">
        <w:rPr>
          <w:rFonts w:ascii="Times New Roman" w:hAnsi="Times New Roman" w:cs="Times New Roman"/>
          <w:sz w:val="24"/>
          <w:szCs w:val="24"/>
        </w:rPr>
        <w:t> </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b/>
          <w:bCs/>
          <w:sz w:val="24"/>
          <w:szCs w:val="24"/>
        </w:rPr>
        <w:t>Objetivo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Revelar información que permita a los usuarios de los estados financieros evaluar la importancia de los instrumentos financieros para una entidad, la naturaleza y alcance de sus riesgos y la forma en que la entidad gestiona dichos riesgos.</w:t>
      </w:r>
      <w:sdt>
        <w:sdtPr>
          <w:rPr>
            <w:rFonts w:ascii="Times New Roman" w:hAnsi="Times New Roman" w:cs="Times New Roman"/>
            <w:sz w:val="24"/>
            <w:szCs w:val="24"/>
          </w:rPr>
          <w:id w:val="1439412263"/>
          <w:citation/>
        </w:sdtPr>
        <w:sdtEndPr/>
        <w:sdtContent>
          <w:r w:rsidR="00E57CB8">
            <w:rPr>
              <w:rFonts w:ascii="Times New Roman" w:hAnsi="Times New Roman" w:cs="Times New Roman"/>
              <w:sz w:val="24"/>
              <w:szCs w:val="24"/>
            </w:rPr>
            <w:fldChar w:fldCharType="begin"/>
          </w:r>
          <w:r w:rsidR="00E57CB8">
            <w:rPr>
              <w:rFonts w:ascii="Times New Roman" w:hAnsi="Times New Roman" w:cs="Times New Roman"/>
              <w:sz w:val="24"/>
              <w:szCs w:val="24"/>
            </w:rPr>
            <w:instrText xml:space="preserve"> CITATION Ver07 \l 3082 </w:instrText>
          </w:r>
          <w:r w:rsidR="00E57CB8">
            <w:rPr>
              <w:rFonts w:ascii="Times New Roman" w:hAnsi="Times New Roman" w:cs="Times New Roman"/>
              <w:sz w:val="24"/>
              <w:szCs w:val="24"/>
            </w:rPr>
            <w:fldChar w:fldCharType="separate"/>
          </w:r>
          <w:r w:rsidR="00E57CB8">
            <w:rPr>
              <w:rFonts w:ascii="Times New Roman" w:hAnsi="Times New Roman" w:cs="Times New Roman"/>
              <w:noProof/>
              <w:sz w:val="24"/>
              <w:szCs w:val="24"/>
            </w:rPr>
            <w:t xml:space="preserve"> </w:t>
          </w:r>
          <w:r w:rsidR="00E57CB8" w:rsidRPr="00E57CB8">
            <w:rPr>
              <w:rFonts w:ascii="Times New Roman" w:hAnsi="Times New Roman" w:cs="Times New Roman"/>
              <w:noProof/>
              <w:sz w:val="24"/>
              <w:szCs w:val="24"/>
            </w:rPr>
            <w:t>(Figueroa, 2007)</w:t>
          </w:r>
          <w:r w:rsidR="00E57CB8">
            <w:rPr>
              <w:rFonts w:ascii="Times New Roman" w:hAnsi="Times New Roman" w:cs="Times New Roman"/>
              <w:sz w:val="24"/>
              <w:szCs w:val="24"/>
            </w:rPr>
            <w:fldChar w:fldCharType="end"/>
          </w:r>
        </w:sdtContent>
      </w:sdt>
    </w:p>
    <w:p w:rsidR="00A9034B" w:rsidRPr="006F16C4" w:rsidRDefault="00260B70" w:rsidP="006F16C4">
      <w:pPr>
        <w:spacing w:line="360" w:lineRule="auto"/>
        <w:jc w:val="both"/>
        <w:rPr>
          <w:rFonts w:ascii="Times New Roman" w:hAnsi="Times New Roman" w:cs="Times New Roman"/>
          <w:sz w:val="24"/>
          <w:szCs w:val="24"/>
        </w:rPr>
      </w:pPr>
      <w:r w:rsidRPr="006F16C4">
        <w:rPr>
          <w:rFonts w:ascii="Times New Roman" w:hAnsi="Times New Roman" w:cs="Times New Roman"/>
          <w:b/>
          <w:bCs/>
          <w:sz w:val="24"/>
          <w:szCs w:val="24"/>
        </w:rPr>
        <w:t>Alcance</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NIIF 7 requiere que las entidades revelen información acerca de la relevancia de los instrumentos financieros para la situación financiera y los resultados de una entidad. Esto incluye:</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 Información sobre la situación financiera de la entidad, incluida la exposición de los activos y pasivos financieros por categoría, información específica cuando se utilice la </w:t>
      </w:r>
      <w:r w:rsidRPr="006F16C4">
        <w:rPr>
          <w:rFonts w:ascii="Times New Roman" w:hAnsi="Times New Roman" w:cs="Times New Roman"/>
          <w:sz w:val="24"/>
          <w:szCs w:val="24"/>
        </w:rPr>
        <w:lastRenderedPageBreak/>
        <w:t>opción del valor razonable, reclasificaciones, bajas, gravámenes sobre activos, derivados incorporados e incumplimientos de condiciones contractuales.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Información sobre los resultados de la entidad en el período, que incluya datos acerca de los ingresos, gastos, ganancias y pérdidas, ingresos y gastos por intereses, ingresos derivados de honorarios y pérdidas por deterioro de valor que se hayan reconocido.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Otras revelaciones, que incluyan información sobre las políticas contables, la contabilización de coberturas y los valores razonables de cada clase de activo y pasivo financiero.</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NIIF 7 exige la revelación de información acerca de la naturaleza y el alcance de los riesgos derivados de instrumentos financieros: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Información cualitativa sobre la exposición a cada tipo de riesgo y la forma en que se gestionan dichos riesgos.</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Información cuantitativa sobre la exposición a cada tipo de riesgo, separando el riesgo de crédito, el riesgo de liquidez y el riesgo de mercado (incluyendo análisis de sensibilidad).</w:t>
      </w:r>
    </w:p>
    <w:p w:rsidR="00A9034B" w:rsidRPr="006F16C4" w:rsidRDefault="00A9034B" w:rsidP="006F16C4">
      <w:pPr>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w:t>
      </w:r>
    </w:p>
    <w:p w:rsidR="00E1345F" w:rsidRPr="006F16C4" w:rsidRDefault="00E1345F" w:rsidP="006F16C4">
      <w:pPr>
        <w:spacing w:line="360" w:lineRule="auto"/>
        <w:jc w:val="both"/>
        <w:rPr>
          <w:rFonts w:ascii="Times New Roman" w:hAnsi="Times New Roman" w:cs="Times New Roman"/>
          <w:b/>
          <w:sz w:val="24"/>
          <w:szCs w:val="24"/>
        </w:rPr>
      </w:pPr>
      <w:r w:rsidRPr="006F16C4">
        <w:rPr>
          <w:rFonts w:ascii="Times New Roman" w:hAnsi="Times New Roman" w:cs="Times New Roman"/>
          <w:b/>
          <w:sz w:val="24"/>
          <w:szCs w:val="24"/>
        </w:rPr>
        <w:t xml:space="preserve">NIIF 8. Segmentos de operación </w:t>
      </w:r>
    </w:p>
    <w:p w:rsidR="00E1345F" w:rsidRPr="006F16C4" w:rsidRDefault="00E1345F" w:rsidP="006F16C4">
      <w:pPr>
        <w:tabs>
          <w:tab w:val="left" w:pos="1067"/>
        </w:tabs>
        <w:spacing w:line="360" w:lineRule="auto"/>
        <w:jc w:val="both"/>
        <w:rPr>
          <w:rFonts w:ascii="Times New Roman" w:hAnsi="Times New Roman" w:cs="Times New Roman"/>
          <w:b/>
          <w:sz w:val="24"/>
          <w:szCs w:val="24"/>
        </w:rPr>
      </w:pPr>
      <w:r w:rsidRPr="006F16C4">
        <w:rPr>
          <w:rFonts w:ascii="Times New Roman" w:hAnsi="Times New Roman" w:cs="Times New Roman"/>
          <w:b/>
          <w:sz w:val="24"/>
          <w:szCs w:val="24"/>
        </w:rPr>
        <w:t xml:space="preserve">Objetivo </w:t>
      </w:r>
    </w:p>
    <w:p w:rsidR="00E1345F" w:rsidRPr="006F16C4" w:rsidRDefault="00E1345F" w:rsidP="006F16C4">
      <w:pPr>
        <w:tabs>
          <w:tab w:val="left" w:pos="1067"/>
        </w:tabs>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Toda entidad debe presentar información que permita a los usuarios de sus estados financieros evaluar la naturaleza y las repercusiones financieras de las actividades empresariales que desarrolla y los entornos económicos en los que opera.</w:t>
      </w:r>
    </w:p>
    <w:p w:rsidR="00E1345F" w:rsidRPr="006F16C4" w:rsidRDefault="00E1345F" w:rsidP="006F16C4">
      <w:pPr>
        <w:tabs>
          <w:tab w:val="left" w:pos="1067"/>
        </w:tabs>
        <w:spacing w:line="360" w:lineRule="auto"/>
        <w:jc w:val="both"/>
        <w:rPr>
          <w:rFonts w:ascii="Times New Roman" w:hAnsi="Times New Roman" w:cs="Times New Roman"/>
          <w:b/>
          <w:sz w:val="24"/>
          <w:szCs w:val="24"/>
        </w:rPr>
      </w:pPr>
      <w:r w:rsidRPr="006F16C4">
        <w:rPr>
          <w:rFonts w:ascii="Times New Roman" w:hAnsi="Times New Roman" w:cs="Times New Roman"/>
          <w:b/>
          <w:sz w:val="24"/>
          <w:szCs w:val="24"/>
        </w:rPr>
        <w:t>Alcance</w:t>
      </w:r>
    </w:p>
    <w:p w:rsidR="00E1345F" w:rsidRPr="006F16C4" w:rsidRDefault="00E1345F" w:rsidP="006F16C4">
      <w:pPr>
        <w:tabs>
          <w:tab w:val="left" w:pos="1067"/>
        </w:tabs>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La presente NNIF se aplica:</w:t>
      </w:r>
    </w:p>
    <w:p w:rsidR="00E1345F" w:rsidRPr="006F16C4" w:rsidRDefault="00E1345F" w:rsidP="006F16C4">
      <w:pPr>
        <w:tabs>
          <w:tab w:val="left" w:pos="1067"/>
        </w:tabs>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A los estados </w:t>
      </w:r>
      <w:r w:rsidR="00260B70" w:rsidRPr="006F16C4">
        <w:rPr>
          <w:rFonts w:ascii="Times New Roman" w:hAnsi="Times New Roman" w:cs="Times New Roman"/>
          <w:sz w:val="24"/>
          <w:szCs w:val="24"/>
        </w:rPr>
        <w:t>financieros</w:t>
      </w:r>
      <w:r w:rsidRPr="006F16C4">
        <w:rPr>
          <w:rFonts w:ascii="Times New Roman" w:hAnsi="Times New Roman" w:cs="Times New Roman"/>
          <w:sz w:val="24"/>
          <w:szCs w:val="24"/>
        </w:rPr>
        <w:t xml:space="preserve"> separados o individuales de una entidad:</w:t>
      </w:r>
    </w:p>
    <w:p w:rsidR="00E1345F" w:rsidRPr="006F16C4" w:rsidRDefault="00E1345F" w:rsidP="006F16C4">
      <w:pPr>
        <w:pStyle w:val="Prrafodelista"/>
        <w:numPr>
          <w:ilvl w:val="0"/>
          <w:numId w:val="5"/>
        </w:numPr>
        <w:tabs>
          <w:tab w:val="left" w:pos="1067"/>
        </w:tabs>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Cuyos instrumentos de deuda o de patrimonio se negocia en un mercado </w:t>
      </w:r>
      <w:r w:rsidR="00260B70" w:rsidRPr="006F16C4">
        <w:rPr>
          <w:rFonts w:ascii="Times New Roman" w:hAnsi="Times New Roman" w:cs="Times New Roman"/>
          <w:sz w:val="24"/>
          <w:szCs w:val="24"/>
        </w:rPr>
        <w:t>público</w:t>
      </w:r>
      <w:r w:rsidRPr="006F16C4">
        <w:rPr>
          <w:rFonts w:ascii="Times New Roman" w:hAnsi="Times New Roman" w:cs="Times New Roman"/>
          <w:sz w:val="24"/>
          <w:szCs w:val="24"/>
        </w:rPr>
        <w:t xml:space="preserve"> </w:t>
      </w:r>
      <w:r w:rsidR="00260B70" w:rsidRPr="006F16C4">
        <w:rPr>
          <w:rFonts w:ascii="Times New Roman" w:hAnsi="Times New Roman" w:cs="Times New Roman"/>
          <w:sz w:val="24"/>
          <w:szCs w:val="24"/>
        </w:rPr>
        <w:t>(bolsa</w:t>
      </w:r>
      <w:r w:rsidRPr="006F16C4">
        <w:rPr>
          <w:rFonts w:ascii="Times New Roman" w:hAnsi="Times New Roman" w:cs="Times New Roman"/>
          <w:sz w:val="24"/>
          <w:szCs w:val="24"/>
        </w:rPr>
        <w:t xml:space="preserve"> de valores nacional o extranjera).</w:t>
      </w:r>
    </w:p>
    <w:p w:rsidR="00260B70" w:rsidRPr="006F16C4" w:rsidRDefault="00260B70" w:rsidP="006F16C4">
      <w:pPr>
        <w:pStyle w:val="Prrafodelista"/>
        <w:numPr>
          <w:ilvl w:val="0"/>
          <w:numId w:val="5"/>
        </w:numPr>
        <w:tabs>
          <w:tab w:val="left" w:pos="1067"/>
        </w:tabs>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lastRenderedPageBreak/>
        <w:t xml:space="preserve">Que registre o este en proceso de registrar sus estados financieros en una comisión de valore u otras organizaciones reguladoras, con el fin de emitir instrumentos de cual clase en un mercado </w:t>
      </w:r>
      <w:r w:rsidR="006F16C4" w:rsidRPr="006F16C4">
        <w:rPr>
          <w:rFonts w:ascii="Times New Roman" w:hAnsi="Times New Roman" w:cs="Times New Roman"/>
          <w:sz w:val="24"/>
          <w:szCs w:val="24"/>
        </w:rPr>
        <w:t>público</w:t>
      </w:r>
      <w:r w:rsidRPr="006F16C4">
        <w:rPr>
          <w:rFonts w:ascii="Times New Roman" w:hAnsi="Times New Roman" w:cs="Times New Roman"/>
          <w:sz w:val="24"/>
          <w:szCs w:val="24"/>
        </w:rPr>
        <w:t>.</w:t>
      </w:r>
    </w:p>
    <w:p w:rsidR="00E1345F" w:rsidRDefault="006F16C4" w:rsidP="006F16C4">
      <w:pPr>
        <w:pStyle w:val="Prrafodelista"/>
        <w:tabs>
          <w:tab w:val="left" w:pos="1067"/>
        </w:tabs>
        <w:spacing w:line="360" w:lineRule="auto"/>
        <w:jc w:val="both"/>
        <w:rPr>
          <w:rFonts w:ascii="Times New Roman" w:hAnsi="Times New Roman" w:cs="Times New Roman"/>
          <w:sz w:val="24"/>
          <w:szCs w:val="24"/>
        </w:rPr>
      </w:pPr>
      <w:r w:rsidRPr="006F16C4">
        <w:rPr>
          <w:rFonts w:ascii="Times New Roman" w:hAnsi="Times New Roman" w:cs="Times New Roman"/>
          <w:sz w:val="24"/>
          <w:szCs w:val="24"/>
        </w:rPr>
        <w:t xml:space="preserve"> Si una entidad a la que no se exige el cumplimiento de las presentes NIIF opta por revelar información por segmentos que no se atenga a las presente NIIF  deberá designar la información  por segmentos. </w:t>
      </w:r>
    </w:p>
    <w:p w:rsidR="00E57CB8" w:rsidRPr="00687C11" w:rsidRDefault="00E57CB8" w:rsidP="00687C11">
      <w:pPr>
        <w:tabs>
          <w:tab w:val="left" w:pos="1067"/>
        </w:tabs>
        <w:spacing w:line="360" w:lineRule="auto"/>
        <w:jc w:val="both"/>
        <w:rPr>
          <w:rFonts w:ascii="Times New Roman" w:hAnsi="Times New Roman" w:cs="Times New Roman"/>
          <w:sz w:val="24"/>
          <w:szCs w:val="24"/>
        </w:rPr>
      </w:pPr>
    </w:p>
    <w:p w:rsidR="00E57CB8" w:rsidRPr="006F16C4" w:rsidRDefault="00E57CB8" w:rsidP="006F16C4">
      <w:pPr>
        <w:pStyle w:val="Prrafodelista"/>
        <w:tabs>
          <w:tab w:val="left" w:pos="1067"/>
        </w:tabs>
        <w:spacing w:line="360" w:lineRule="auto"/>
        <w:jc w:val="both"/>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lang w:eastAsia="en-US"/>
        </w:rPr>
        <w:id w:val="2026908523"/>
        <w:docPartObj>
          <w:docPartGallery w:val="Bibliographies"/>
          <w:docPartUnique/>
        </w:docPartObj>
      </w:sdtPr>
      <w:sdtEndPr/>
      <w:sdtContent>
        <w:p w:rsidR="00E57CB8" w:rsidRPr="00E57CB8" w:rsidRDefault="00E57CB8">
          <w:pPr>
            <w:pStyle w:val="Ttulo1"/>
            <w:rPr>
              <w:color w:val="auto"/>
            </w:rPr>
          </w:pPr>
          <w:r w:rsidRPr="00E57CB8">
            <w:rPr>
              <w:color w:val="auto"/>
            </w:rPr>
            <w:t>Bibliografía</w:t>
          </w:r>
        </w:p>
        <w:sdt>
          <w:sdtPr>
            <w:id w:val="111145805"/>
            <w:bibliography/>
          </w:sdtPr>
          <w:sdtEndPr/>
          <w:sdtContent>
            <w:p w:rsidR="00E57CB8" w:rsidRDefault="00E57CB8" w:rsidP="00E57CB8">
              <w:pPr>
                <w:pStyle w:val="Bibliografa"/>
                <w:ind w:left="720" w:hanging="720"/>
                <w:rPr>
                  <w:noProof/>
                </w:rPr>
              </w:pPr>
              <w:r>
                <w:fldChar w:fldCharType="begin"/>
              </w:r>
              <w:r>
                <w:instrText>BIBLIOGRAPHY</w:instrText>
              </w:r>
              <w:r>
                <w:fldChar w:fldCharType="separate"/>
              </w:r>
              <w:r>
                <w:rPr>
                  <w:noProof/>
                </w:rPr>
                <w:t xml:space="preserve">Figueroa, V. M. (2007). </w:t>
              </w:r>
              <w:r>
                <w:rPr>
                  <w:i/>
                  <w:iCs/>
                  <w:noProof/>
                </w:rPr>
                <w:t>Aplicaciones Prácticas de las NIIF .</w:t>
              </w:r>
              <w:r>
                <w:rPr>
                  <w:noProof/>
                </w:rPr>
                <w:t xml:space="preserve"> Costa Rica : Tecnológica de Costa Rica .</w:t>
              </w:r>
            </w:p>
            <w:p w:rsidR="00E57CB8" w:rsidRDefault="00E57CB8" w:rsidP="00E57CB8">
              <w:pPr>
                <w:pStyle w:val="Bibliografa"/>
                <w:ind w:left="720" w:hanging="720"/>
                <w:rPr>
                  <w:noProof/>
                </w:rPr>
              </w:pPr>
              <w:r>
                <w:rPr>
                  <w:noProof/>
                </w:rPr>
                <w:t xml:space="preserve">Financiero, A. (1999). </w:t>
              </w:r>
              <w:r>
                <w:rPr>
                  <w:i/>
                  <w:iCs/>
                  <w:noProof/>
                </w:rPr>
                <w:t>Juan Pablo.</w:t>
              </w:r>
              <w:r>
                <w:rPr>
                  <w:noProof/>
                </w:rPr>
                <w:t xml:space="preserve"> Santa Fe de Bogotá.</w:t>
              </w:r>
            </w:p>
            <w:p w:rsidR="00E57CB8" w:rsidRDefault="00E57CB8" w:rsidP="00E57CB8">
              <w:r>
                <w:rPr>
                  <w:b/>
                  <w:bCs/>
                </w:rPr>
                <w:fldChar w:fldCharType="end"/>
              </w:r>
            </w:p>
          </w:sdtContent>
        </w:sdt>
      </w:sdtContent>
    </w:sdt>
    <w:p w:rsidR="006F16C4" w:rsidRPr="006F16C4" w:rsidRDefault="006F16C4" w:rsidP="006F16C4">
      <w:pPr>
        <w:tabs>
          <w:tab w:val="left" w:pos="1643"/>
        </w:tabs>
        <w:spacing w:line="360" w:lineRule="auto"/>
        <w:jc w:val="both"/>
        <w:rPr>
          <w:rFonts w:ascii="Times New Roman" w:hAnsi="Times New Roman" w:cs="Times New Roman"/>
          <w:sz w:val="24"/>
          <w:szCs w:val="24"/>
        </w:rPr>
      </w:pPr>
    </w:p>
    <w:sectPr w:rsidR="006F16C4" w:rsidRPr="006F16C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D7D" w:rsidRDefault="002F7D7D" w:rsidP="006F16C4">
      <w:pPr>
        <w:spacing w:after="0" w:line="240" w:lineRule="auto"/>
      </w:pPr>
      <w:r>
        <w:separator/>
      </w:r>
    </w:p>
  </w:endnote>
  <w:endnote w:type="continuationSeparator" w:id="0">
    <w:p w:rsidR="002F7D7D" w:rsidRDefault="002F7D7D" w:rsidP="006F1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D7D" w:rsidRDefault="002F7D7D" w:rsidP="006F16C4">
      <w:pPr>
        <w:spacing w:after="0" w:line="240" w:lineRule="auto"/>
      </w:pPr>
      <w:r>
        <w:separator/>
      </w:r>
    </w:p>
  </w:footnote>
  <w:footnote w:type="continuationSeparator" w:id="0">
    <w:p w:rsidR="002F7D7D" w:rsidRDefault="002F7D7D" w:rsidP="006F16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5pt;height:10.85pt" o:bullet="t">
        <v:imagedata r:id="rId1" o:title="clip_image001"/>
      </v:shape>
    </w:pict>
  </w:numPicBullet>
  <w:abstractNum w:abstractNumId="0">
    <w:nsid w:val="0B7956FD"/>
    <w:multiLevelType w:val="hybridMultilevel"/>
    <w:tmpl w:val="03308C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C8A3EC0"/>
    <w:multiLevelType w:val="hybridMultilevel"/>
    <w:tmpl w:val="7D4C33BC"/>
    <w:lvl w:ilvl="0" w:tplc="0C0A0007">
      <w:start w:val="1"/>
      <w:numFmt w:val="bullet"/>
      <w:lvlText w:val=""/>
      <w:lvlPicBulletId w:val="0"/>
      <w:lvlJc w:val="left"/>
      <w:pPr>
        <w:ind w:left="720" w:hanging="360"/>
      </w:pPr>
      <w:rPr>
        <w:rFonts w:ascii="Symbol" w:hAnsi="Symbol" w:hint="default"/>
        <w:sz w:val="24"/>
        <w:szCs w:val="24"/>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2">
    <w:nsid w:val="1072198F"/>
    <w:multiLevelType w:val="hybridMultilevel"/>
    <w:tmpl w:val="978C762C"/>
    <w:lvl w:ilvl="0" w:tplc="0C0A0017">
      <w:start w:val="1"/>
      <w:numFmt w:val="lowerLetter"/>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3">
    <w:nsid w:val="2CBC66E0"/>
    <w:multiLevelType w:val="hybridMultilevel"/>
    <w:tmpl w:val="D21E5C00"/>
    <w:lvl w:ilvl="0" w:tplc="0C0A0009">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4FFA6626"/>
    <w:multiLevelType w:val="hybridMultilevel"/>
    <w:tmpl w:val="3BC2EEAC"/>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89F1D27"/>
    <w:multiLevelType w:val="multilevel"/>
    <w:tmpl w:val="5318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C25BE1"/>
    <w:multiLevelType w:val="multilevel"/>
    <w:tmpl w:val="40D4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97F4A94"/>
    <w:multiLevelType w:val="hybridMultilevel"/>
    <w:tmpl w:val="143EF77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4"/>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5B0"/>
    <w:rsid w:val="000A5383"/>
    <w:rsid w:val="00150A1E"/>
    <w:rsid w:val="001979F6"/>
    <w:rsid w:val="00260B70"/>
    <w:rsid w:val="0026282B"/>
    <w:rsid w:val="002F7D7D"/>
    <w:rsid w:val="00371543"/>
    <w:rsid w:val="00397BB9"/>
    <w:rsid w:val="00441AE2"/>
    <w:rsid w:val="0054782F"/>
    <w:rsid w:val="006757D4"/>
    <w:rsid w:val="00687C11"/>
    <w:rsid w:val="006F16C4"/>
    <w:rsid w:val="007C2C40"/>
    <w:rsid w:val="007C5B44"/>
    <w:rsid w:val="008655B0"/>
    <w:rsid w:val="00900AC1"/>
    <w:rsid w:val="00A9034B"/>
    <w:rsid w:val="00AB6718"/>
    <w:rsid w:val="00B2031B"/>
    <w:rsid w:val="00BC6A4E"/>
    <w:rsid w:val="00C96BE2"/>
    <w:rsid w:val="00D96A0A"/>
    <w:rsid w:val="00E1345F"/>
    <w:rsid w:val="00E5361A"/>
    <w:rsid w:val="00E57C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57CB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55B0"/>
    <w:pPr>
      <w:ind w:left="720"/>
      <w:contextualSpacing/>
    </w:pPr>
  </w:style>
  <w:style w:type="character" w:styleId="Hipervnculo">
    <w:name w:val="Hyperlink"/>
    <w:basedOn w:val="Fuentedeprrafopredeter"/>
    <w:uiPriority w:val="99"/>
    <w:unhideWhenUsed/>
    <w:rsid w:val="00E1345F"/>
    <w:rPr>
      <w:color w:val="0000FF" w:themeColor="hyperlink"/>
      <w:u w:val="single"/>
    </w:rPr>
  </w:style>
  <w:style w:type="paragraph" w:styleId="Textodeglobo">
    <w:name w:val="Balloon Text"/>
    <w:basedOn w:val="Normal"/>
    <w:link w:val="TextodegloboCar"/>
    <w:uiPriority w:val="99"/>
    <w:semiHidden/>
    <w:unhideWhenUsed/>
    <w:rsid w:val="00E1345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345F"/>
    <w:rPr>
      <w:rFonts w:ascii="Tahoma" w:hAnsi="Tahoma" w:cs="Tahoma"/>
      <w:sz w:val="16"/>
      <w:szCs w:val="16"/>
    </w:rPr>
  </w:style>
  <w:style w:type="paragraph" w:styleId="Encabezado">
    <w:name w:val="header"/>
    <w:basedOn w:val="Normal"/>
    <w:link w:val="EncabezadoCar"/>
    <w:uiPriority w:val="99"/>
    <w:unhideWhenUsed/>
    <w:rsid w:val="006F16C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F16C4"/>
  </w:style>
  <w:style w:type="paragraph" w:styleId="Piedepgina">
    <w:name w:val="footer"/>
    <w:basedOn w:val="Normal"/>
    <w:link w:val="PiedepginaCar"/>
    <w:uiPriority w:val="99"/>
    <w:unhideWhenUsed/>
    <w:rsid w:val="006F16C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F16C4"/>
  </w:style>
  <w:style w:type="character" w:customStyle="1" w:styleId="Ttulo1Car">
    <w:name w:val="Título 1 Car"/>
    <w:basedOn w:val="Fuentedeprrafopredeter"/>
    <w:link w:val="Ttulo1"/>
    <w:uiPriority w:val="9"/>
    <w:rsid w:val="00E57CB8"/>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E57CB8"/>
  </w:style>
  <w:style w:type="character" w:customStyle="1" w:styleId="googqs-tidbit-1">
    <w:name w:val="goog_qs-tidbit-1"/>
    <w:basedOn w:val="Fuentedeprrafopredeter"/>
    <w:rsid w:val="006757D4"/>
  </w:style>
  <w:style w:type="paragraph" w:styleId="NormalWeb">
    <w:name w:val="Normal (Web)"/>
    <w:basedOn w:val="Normal"/>
    <w:uiPriority w:val="99"/>
    <w:semiHidden/>
    <w:unhideWhenUsed/>
    <w:rsid w:val="00B2031B"/>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57CB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55B0"/>
    <w:pPr>
      <w:ind w:left="720"/>
      <w:contextualSpacing/>
    </w:pPr>
  </w:style>
  <w:style w:type="character" w:styleId="Hipervnculo">
    <w:name w:val="Hyperlink"/>
    <w:basedOn w:val="Fuentedeprrafopredeter"/>
    <w:uiPriority w:val="99"/>
    <w:unhideWhenUsed/>
    <w:rsid w:val="00E1345F"/>
    <w:rPr>
      <w:color w:val="0000FF" w:themeColor="hyperlink"/>
      <w:u w:val="single"/>
    </w:rPr>
  </w:style>
  <w:style w:type="paragraph" w:styleId="Textodeglobo">
    <w:name w:val="Balloon Text"/>
    <w:basedOn w:val="Normal"/>
    <w:link w:val="TextodegloboCar"/>
    <w:uiPriority w:val="99"/>
    <w:semiHidden/>
    <w:unhideWhenUsed/>
    <w:rsid w:val="00E1345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345F"/>
    <w:rPr>
      <w:rFonts w:ascii="Tahoma" w:hAnsi="Tahoma" w:cs="Tahoma"/>
      <w:sz w:val="16"/>
      <w:szCs w:val="16"/>
    </w:rPr>
  </w:style>
  <w:style w:type="paragraph" w:styleId="Encabezado">
    <w:name w:val="header"/>
    <w:basedOn w:val="Normal"/>
    <w:link w:val="EncabezadoCar"/>
    <w:uiPriority w:val="99"/>
    <w:unhideWhenUsed/>
    <w:rsid w:val="006F16C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F16C4"/>
  </w:style>
  <w:style w:type="paragraph" w:styleId="Piedepgina">
    <w:name w:val="footer"/>
    <w:basedOn w:val="Normal"/>
    <w:link w:val="PiedepginaCar"/>
    <w:uiPriority w:val="99"/>
    <w:unhideWhenUsed/>
    <w:rsid w:val="006F16C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F16C4"/>
  </w:style>
  <w:style w:type="character" w:customStyle="1" w:styleId="Ttulo1Car">
    <w:name w:val="Título 1 Car"/>
    <w:basedOn w:val="Fuentedeprrafopredeter"/>
    <w:link w:val="Ttulo1"/>
    <w:uiPriority w:val="9"/>
    <w:rsid w:val="00E57CB8"/>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E57CB8"/>
  </w:style>
  <w:style w:type="character" w:customStyle="1" w:styleId="googqs-tidbit-1">
    <w:name w:val="goog_qs-tidbit-1"/>
    <w:basedOn w:val="Fuentedeprrafopredeter"/>
    <w:rsid w:val="006757D4"/>
  </w:style>
  <w:style w:type="paragraph" w:styleId="NormalWeb">
    <w:name w:val="Normal (Web)"/>
    <w:basedOn w:val="Normal"/>
    <w:uiPriority w:val="99"/>
    <w:semiHidden/>
    <w:unhideWhenUsed/>
    <w:rsid w:val="00B2031B"/>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5604">
      <w:bodyDiv w:val="1"/>
      <w:marLeft w:val="0"/>
      <w:marRight w:val="0"/>
      <w:marTop w:val="0"/>
      <w:marBottom w:val="0"/>
      <w:divBdr>
        <w:top w:val="none" w:sz="0" w:space="0" w:color="auto"/>
        <w:left w:val="none" w:sz="0" w:space="0" w:color="auto"/>
        <w:bottom w:val="none" w:sz="0" w:space="0" w:color="auto"/>
        <w:right w:val="none" w:sz="0" w:space="0" w:color="auto"/>
      </w:divBdr>
    </w:div>
    <w:div w:id="509299251">
      <w:bodyDiv w:val="1"/>
      <w:marLeft w:val="0"/>
      <w:marRight w:val="0"/>
      <w:marTop w:val="0"/>
      <w:marBottom w:val="0"/>
      <w:divBdr>
        <w:top w:val="none" w:sz="0" w:space="0" w:color="auto"/>
        <w:left w:val="none" w:sz="0" w:space="0" w:color="auto"/>
        <w:bottom w:val="none" w:sz="0" w:space="0" w:color="auto"/>
        <w:right w:val="none" w:sz="0" w:space="0" w:color="auto"/>
      </w:divBdr>
    </w:div>
    <w:div w:id="651523176">
      <w:bodyDiv w:val="1"/>
      <w:marLeft w:val="0"/>
      <w:marRight w:val="0"/>
      <w:marTop w:val="0"/>
      <w:marBottom w:val="0"/>
      <w:divBdr>
        <w:top w:val="none" w:sz="0" w:space="0" w:color="auto"/>
        <w:left w:val="none" w:sz="0" w:space="0" w:color="auto"/>
        <w:bottom w:val="none" w:sz="0" w:space="0" w:color="auto"/>
        <w:right w:val="none" w:sz="0" w:space="0" w:color="auto"/>
      </w:divBdr>
    </w:div>
    <w:div w:id="1295021863">
      <w:bodyDiv w:val="1"/>
      <w:marLeft w:val="0"/>
      <w:marRight w:val="0"/>
      <w:marTop w:val="0"/>
      <w:marBottom w:val="0"/>
      <w:divBdr>
        <w:top w:val="none" w:sz="0" w:space="0" w:color="auto"/>
        <w:left w:val="none" w:sz="0" w:space="0" w:color="auto"/>
        <w:bottom w:val="none" w:sz="0" w:space="0" w:color="auto"/>
        <w:right w:val="none" w:sz="0" w:space="0" w:color="auto"/>
      </w:divBdr>
    </w:div>
    <w:div w:id="1740708525">
      <w:bodyDiv w:val="1"/>
      <w:marLeft w:val="0"/>
      <w:marRight w:val="0"/>
      <w:marTop w:val="0"/>
      <w:marBottom w:val="0"/>
      <w:divBdr>
        <w:top w:val="none" w:sz="0" w:space="0" w:color="auto"/>
        <w:left w:val="none" w:sz="0" w:space="0" w:color="auto"/>
        <w:bottom w:val="none" w:sz="0" w:space="0" w:color="auto"/>
        <w:right w:val="none" w:sz="0" w:space="0" w:color="auto"/>
      </w:divBdr>
    </w:div>
    <w:div w:id="197062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Ana99</b:Tag>
    <b:SourceType>Book</b:SourceType>
    <b:Guid>{65AC679D-6870-4D18-8E9A-802106B09722}</b:Guid>
    <b:Author>
      <b:Author>
        <b:NameList>
          <b:Person>
            <b:Last>Financiero</b:Last>
            <b:First>Analisis</b:First>
          </b:Person>
        </b:NameList>
      </b:Author>
    </b:Author>
    <b:Title>Juan Pablo</b:Title>
    <b:Year>1999</b:Year>
    <b:City>Santa Fe de Bogotá</b:City>
    <b:RefOrder>1</b:RefOrder>
  </b:Source>
  <b:Source>
    <b:Tag>Ver07</b:Tag>
    <b:SourceType>Book</b:SourceType>
    <b:Guid>{6954D6D3-8FAE-4958-9182-47379D949299}</b:Guid>
    <b:Author>
      <b:Author>
        <b:NameList>
          <b:Person>
            <b:Last>Figueroa</b:Last>
            <b:First>Vernor</b:First>
            <b:Middle>Mesén</b:Middle>
          </b:Person>
        </b:NameList>
      </b:Author>
    </b:Author>
    <b:Title>Aplicaciones Prácticas de las NIIF </b:Title>
    <b:Year>2007</b:Year>
    <b:City>Costa Rica </b:City>
    <b:Publisher>Tecnológica de Costa Rica </b:Publisher>
    <b:RefOrder>2</b:RefOrder>
  </b:Source>
</b:Sources>
</file>

<file path=customXml/itemProps1.xml><?xml version="1.0" encoding="utf-8"?>
<ds:datastoreItem xmlns:ds="http://schemas.openxmlformats.org/officeDocument/2006/customXml" ds:itemID="{21820C0A-5F75-4554-9471-E62EE4D1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3051</Words>
  <Characters>16782</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COMPAQ</cp:lastModifiedBy>
  <cp:revision>2</cp:revision>
  <cp:lastPrinted>2012-11-07T00:01:00Z</cp:lastPrinted>
  <dcterms:created xsi:type="dcterms:W3CDTF">2012-11-07T13:57:00Z</dcterms:created>
  <dcterms:modified xsi:type="dcterms:W3CDTF">2012-11-07T13:57:00Z</dcterms:modified>
</cp:coreProperties>
</file>